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B841" w14:textId="77777777" w:rsidR="006D2D4C" w:rsidRPr="00C542CC" w:rsidRDefault="006D2D4C" w:rsidP="006D2D4C">
      <w:pPr>
        <w:shd w:val="clear" w:color="auto" w:fill="FFFFFF"/>
        <w:tabs>
          <w:tab w:val="clear" w:pos="567"/>
        </w:tabs>
        <w:spacing w:after="120" w:line="256" w:lineRule="auto"/>
        <w:jc w:val="center"/>
        <w:rPr>
          <w:rFonts w:ascii="Arial" w:eastAsiaTheme="minorHAnsi" w:hAnsi="Arial" w:cs="Arial"/>
          <w:b/>
          <w:color w:val="000000"/>
          <w:sz w:val="28"/>
          <w:szCs w:val="28"/>
          <w:lang w:val="en-US"/>
        </w:rPr>
      </w:pPr>
      <w:r w:rsidRPr="00C542CC">
        <w:rPr>
          <w:rFonts w:ascii="Arial" w:eastAsiaTheme="minorHAnsi" w:hAnsi="Arial" w:cs="Arial"/>
          <w:b/>
          <w:color w:val="000000"/>
          <w:sz w:val="28"/>
          <w:szCs w:val="28"/>
          <w:lang w:val="en-US"/>
        </w:rPr>
        <w:t xml:space="preserve">Eligibility Criteria and Guidelines for Accessing the </w:t>
      </w:r>
    </w:p>
    <w:p w14:paraId="4F4170E0" w14:textId="77777777" w:rsidR="006D2D4C" w:rsidRPr="00C542CC" w:rsidRDefault="006D2D4C" w:rsidP="006D2D4C">
      <w:pPr>
        <w:shd w:val="clear" w:color="auto" w:fill="FFFFFF"/>
        <w:tabs>
          <w:tab w:val="clear" w:pos="567"/>
        </w:tabs>
        <w:spacing w:after="120" w:line="256" w:lineRule="auto"/>
        <w:jc w:val="center"/>
        <w:rPr>
          <w:rFonts w:ascii="Arial" w:eastAsiaTheme="minorHAnsi" w:hAnsi="Arial" w:cs="Arial"/>
          <w:b/>
          <w:color w:val="000000"/>
          <w:sz w:val="28"/>
          <w:szCs w:val="28"/>
          <w:lang w:val="en-US"/>
        </w:rPr>
      </w:pPr>
      <w:r w:rsidRPr="00C542CC">
        <w:rPr>
          <w:rFonts w:ascii="Arial" w:eastAsiaTheme="minorHAnsi" w:hAnsi="Arial" w:cs="Arial"/>
          <w:b/>
          <w:color w:val="000000"/>
          <w:sz w:val="28"/>
          <w:szCs w:val="28"/>
          <w:lang w:val="en-US"/>
        </w:rPr>
        <w:t xml:space="preserve">Structural Reform and </w:t>
      </w:r>
      <w:r>
        <w:rPr>
          <w:rFonts w:ascii="Arial" w:eastAsiaTheme="minorHAnsi" w:hAnsi="Arial" w:cs="Arial"/>
          <w:b/>
          <w:color w:val="000000"/>
          <w:sz w:val="28"/>
          <w:szCs w:val="28"/>
          <w:lang w:val="en-US"/>
        </w:rPr>
        <w:t>Sustainable</w:t>
      </w:r>
      <w:r w:rsidRPr="00C542CC">
        <w:rPr>
          <w:rFonts w:ascii="Arial" w:eastAsiaTheme="minorHAnsi" w:hAnsi="Arial" w:cs="Arial"/>
          <w:b/>
          <w:color w:val="000000"/>
          <w:sz w:val="28"/>
          <w:szCs w:val="28"/>
          <w:lang w:val="en-US"/>
        </w:rPr>
        <w:t xml:space="preserve"> </w:t>
      </w:r>
      <w:r w:rsidR="008019A7">
        <w:rPr>
          <w:rFonts w:ascii="Arial" w:eastAsiaTheme="minorHAnsi" w:hAnsi="Arial" w:cs="Arial"/>
          <w:b/>
          <w:color w:val="000000"/>
          <w:sz w:val="28"/>
          <w:szCs w:val="28"/>
          <w:lang w:val="en-US"/>
        </w:rPr>
        <w:t xml:space="preserve">Green </w:t>
      </w:r>
      <w:r w:rsidRPr="00C542CC">
        <w:rPr>
          <w:rFonts w:ascii="Arial" w:eastAsiaTheme="minorHAnsi" w:hAnsi="Arial" w:cs="Arial"/>
          <w:b/>
          <w:color w:val="000000"/>
          <w:sz w:val="28"/>
          <w:szCs w:val="28"/>
          <w:lang w:val="en-US"/>
        </w:rPr>
        <w:t>Growth (</w:t>
      </w:r>
      <w:r>
        <w:rPr>
          <w:rFonts w:ascii="Arial" w:eastAsiaTheme="minorHAnsi" w:hAnsi="Arial" w:cs="Arial"/>
          <w:b/>
          <w:color w:val="000000"/>
          <w:sz w:val="28"/>
          <w:szCs w:val="28"/>
          <w:lang w:val="en-US"/>
        </w:rPr>
        <w:t>SRS</w:t>
      </w:r>
      <w:r w:rsidR="008019A7">
        <w:rPr>
          <w:rFonts w:ascii="Arial" w:eastAsiaTheme="minorHAnsi" w:hAnsi="Arial" w:cs="Arial"/>
          <w:b/>
          <w:color w:val="000000"/>
          <w:sz w:val="28"/>
          <w:szCs w:val="28"/>
          <w:lang w:val="en-US"/>
        </w:rPr>
        <w:t>G</w:t>
      </w:r>
      <w:r>
        <w:rPr>
          <w:rFonts w:ascii="Arial" w:eastAsiaTheme="minorHAnsi" w:hAnsi="Arial" w:cs="Arial"/>
          <w:b/>
          <w:color w:val="000000"/>
          <w:sz w:val="28"/>
          <w:szCs w:val="28"/>
          <w:lang w:val="en-US"/>
        </w:rPr>
        <w:t>G</w:t>
      </w:r>
      <w:r w:rsidRPr="00C542CC">
        <w:rPr>
          <w:rFonts w:ascii="Arial" w:eastAsiaTheme="minorHAnsi" w:hAnsi="Arial" w:cs="Arial"/>
          <w:b/>
          <w:color w:val="000000"/>
          <w:sz w:val="28"/>
          <w:szCs w:val="28"/>
          <w:lang w:val="en-US"/>
        </w:rPr>
        <w:t xml:space="preserve">) </w:t>
      </w:r>
      <w:r>
        <w:rPr>
          <w:rFonts w:ascii="Arial" w:eastAsiaTheme="minorHAnsi" w:hAnsi="Arial" w:cs="Arial"/>
          <w:b/>
          <w:color w:val="000000"/>
          <w:sz w:val="28"/>
          <w:szCs w:val="28"/>
          <w:lang w:val="en-US"/>
        </w:rPr>
        <w:t>Sub-Fund</w:t>
      </w:r>
    </w:p>
    <w:p w14:paraId="1C94245C" w14:textId="77777777" w:rsidR="006D2D4C" w:rsidRPr="00C542CC" w:rsidRDefault="006D2D4C" w:rsidP="006D2D4C">
      <w:pPr>
        <w:shd w:val="clear" w:color="auto" w:fill="FFFFFF"/>
        <w:tabs>
          <w:tab w:val="clear" w:pos="567"/>
        </w:tabs>
        <w:spacing w:line="256" w:lineRule="auto"/>
        <w:rPr>
          <w:rFonts w:ascii="Arial" w:eastAsiaTheme="minorHAnsi" w:hAnsi="Arial" w:cs="Arial"/>
          <w:color w:val="000000"/>
          <w:sz w:val="22"/>
          <w:szCs w:val="22"/>
          <w:lang w:val="en-US"/>
        </w:rPr>
      </w:pPr>
    </w:p>
    <w:p w14:paraId="7A438EDF" w14:textId="77777777" w:rsidR="006D2D4C" w:rsidRPr="00C542CC" w:rsidRDefault="006D2D4C" w:rsidP="006D2D4C">
      <w:pPr>
        <w:tabs>
          <w:tab w:val="clear" w:pos="567"/>
        </w:tabs>
        <w:spacing w:after="120" w:line="256" w:lineRule="auto"/>
        <w:jc w:val="both"/>
        <w:rPr>
          <w:rFonts w:ascii="Arial" w:eastAsiaTheme="minorHAnsi" w:hAnsi="Arial" w:cs="Arial"/>
          <w:b/>
          <w:sz w:val="22"/>
          <w:szCs w:val="22"/>
          <w:lang w:val="en-AU"/>
        </w:rPr>
      </w:pPr>
      <w:r w:rsidRPr="00C542CC">
        <w:rPr>
          <w:rFonts w:ascii="Arial" w:eastAsiaTheme="minorHAnsi" w:hAnsi="Arial" w:cs="Arial"/>
          <w:b/>
          <w:sz w:val="22"/>
          <w:szCs w:val="22"/>
          <w:lang w:val="en-AU"/>
        </w:rPr>
        <w:t>Objectives</w:t>
      </w:r>
    </w:p>
    <w:p w14:paraId="0CCCFCB9" w14:textId="77777777" w:rsidR="006D2D4C" w:rsidRPr="00C542CC" w:rsidRDefault="006D2D4C" w:rsidP="006D2D4C">
      <w:pPr>
        <w:tabs>
          <w:tab w:val="clear" w:pos="567"/>
        </w:tabs>
        <w:spacing w:line="240" w:lineRule="auto"/>
        <w:jc w:val="both"/>
        <w:rPr>
          <w:rFonts w:ascii="Arial" w:eastAsiaTheme="minorHAnsi" w:hAnsi="Arial" w:cs="Arial"/>
          <w:sz w:val="22"/>
          <w:szCs w:val="22"/>
        </w:rPr>
      </w:pPr>
      <w:r w:rsidRPr="00C542CC">
        <w:rPr>
          <w:rFonts w:ascii="Arial" w:eastAsiaTheme="minorHAnsi" w:hAnsi="Arial" w:cs="Arial"/>
          <w:sz w:val="22"/>
          <w:szCs w:val="22"/>
          <w:lang w:val="en-AU"/>
        </w:rPr>
        <w:t xml:space="preserve">The </w:t>
      </w:r>
      <w:r>
        <w:rPr>
          <w:rFonts w:ascii="Arial" w:eastAsiaTheme="minorHAnsi" w:hAnsi="Arial" w:cs="Arial"/>
          <w:sz w:val="22"/>
          <w:szCs w:val="22"/>
          <w:lang w:val="en-AU"/>
        </w:rPr>
        <w:t>SRSG</w:t>
      </w:r>
      <w:r w:rsidR="008019A7">
        <w:rPr>
          <w:rFonts w:ascii="Arial" w:eastAsiaTheme="minorHAnsi" w:hAnsi="Arial" w:cs="Arial"/>
          <w:sz w:val="22"/>
          <w:szCs w:val="22"/>
          <w:lang w:val="en-AU"/>
        </w:rPr>
        <w:t>G</w:t>
      </w:r>
      <w:r w:rsidRPr="00C542CC">
        <w:rPr>
          <w:rFonts w:ascii="Arial" w:eastAsiaTheme="minorHAnsi" w:hAnsi="Arial" w:cs="Arial"/>
          <w:sz w:val="22"/>
          <w:szCs w:val="22"/>
          <w:lang w:val="en-AU"/>
        </w:rPr>
        <w:t xml:space="preserve"> </w:t>
      </w:r>
      <w:r>
        <w:rPr>
          <w:rFonts w:ascii="Arial" w:eastAsiaTheme="minorHAnsi" w:hAnsi="Arial" w:cs="Arial"/>
          <w:sz w:val="22"/>
          <w:szCs w:val="22"/>
          <w:lang w:val="en-AU"/>
        </w:rPr>
        <w:t>Sub-Fund</w:t>
      </w:r>
      <w:r w:rsidRPr="00C542CC">
        <w:rPr>
          <w:rFonts w:ascii="Arial" w:eastAsiaTheme="minorHAnsi" w:hAnsi="Arial" w:cs="Arial"/>
          <w:sz w:val="22"/>
          <w:szCs w:val="22"/>
          <w:lang w:val="en-AU"/>
        </w:rPr>
        <w:t xml:space="preserve"> is designed to fund capacity-building projects to develop and implement structural reforms that support </w:t>
      </w:r>
      <w:r>
        <w:rPr>
          <w:rFonts w:ascii="Arial" w:eastAsiaTheme="minorHAnsi" w:hAnsi="Arial" w:cs="Arial"/>
          <w:sz w:val="22"/>
          <w:szCs w:val="22"/>
          <w:lang w:val="en-AU"/>
        </w:rPr>
        <w:t>sustainable</w:t>
      </w:r>
      <w:r w:rsidRPr="00C542CC">
        <w:rPr>
          <w:rFonts w:ascii="Arial" w:eastAsiaTheme="minorHAnsi" w:hAnsi="Arial" w:cs="Arial"/>
          <w:sz w:val="22"/>
          <w:szCs w:val="22"/>
          <w:lang w:val="en-AU"/>
        </w:rPr>
        <w:t xml:space="preserve"> growth.  For example, </w:t>
      </w:r>
      <w:r>
        <w:rPr>
          <w:rFonts w:ascii="Arial" w:eastAsiaTheme="minorHAnsi" w:hAnsi="Arial" w:cs="Arial"/>
          <w:sz w:val="22"/>
          <w:szCs w:val="22"/>
          <w:lang w:val="en-AU"/>
        </w:rPr>
        <w:t xml:space="preserve">but not limited to, </w:t>
      </w:r>
      <w:r w:rsidRPr="00C542CC">
        <w:rPr>
          <w:rFonts w:ascii="Arial" w:eastAsiaTheme="minorHAnsi" w:hAnsi="Arial" w:cs="Arial"/>
          <w:sz w:val="22"/>
          <w:szCs w:val="22"/>
          <w:lang w:val="en-AU"/>
        </w:rPr>
        <w:t>projects that</w:t>
      </w:r>
      <w:r w:rsidRPr="00C542CC">
        <w:rPr>
          <w:rFonts w:ascii="Arial" w:eastAsiaTheme="minorHAnsi" w:hAnsi="Arial" w:cs="Arial"/>
          <w:sz w:val="22"/>
          <w:szCs w:val="22"/>
        </w:rPr>
        <w:t xml:space="preserve"> establish enabling policies that promote the development </w:t>
      </w:r>
      <w:r>
        <w:rPr>
          <w:rFonts w:ascii="Arial" w:eastAsiaTheme="minorHAnsi" w:hAnsi="Arial" w:cs="Arial"/>
          <w:sz w:val="22"/>
          <w:szCs w:val="22"/>
        </w:rPr>
        <w:t xml:space="preserve">of </w:t>
      </w:r>
      <w:r w:rsidRPr="00C542CC">
        <w:rPr>
          <w:rFonts w:ascii="Arial" w:eastAsiaTheme="minorHAnsi" w:hAnsi="Arial" w:cs="Arial"/>
          <w:sz w:val="22"/>
          <w:szCs w:val="22"/>
        </w:rPr>
        <w:t xml:space="preserve">and increase the uptake of </w:t>
      </w:r>
      <w:r>
        <w:rPr>
          <w:rFonts w:ascii="Arial" w:eastAsiaTheme="minorHAnsi" w:hAnsi="Arial" w:cs="Arial"/>
          <w:sz w:val="22"/>
          <w:szCs w:val="22"/>
        </w:rPr>
        <w:t xml:space="preserve">low–carbon transition and </w:t>
      </w:r>
      <w:r w:rsidRPr="00C542CC">
        <w:rPr>
          <w:rFonts w:ascii="Arial" w:eastAsiaTheme="minorHAnsi" w:hAnsi="Arial" w:cs="Arial"/>
          <w:sz w:val="22"/>
          <w:szCs w:val="22"/>
        </w:rPr>
        <w:t xml:space="preserve">low/zero emission technologies, </w:t>
      </w:r>
      <w:r>
        <w:rPr>
          <w:rFonts w:ascii="Arial" w:eastAsiaTheme="minorHAnsi" w:hAnsi="Arial" w:cs="Arial"/>
          <w:sz w:val="22"/>
          <w:szCs w:val="22"/>
        </w:rPr>
        <w:t xml:space="preserve">and promote, if appropriate, </w:t>
      </w:r>
      <w:r w:rsidRPr="00C542CC">
        <w:rPr>
          <w:rFonts w:ascii="Arial" w:eastAsiaTheme="minorHAnsi" w:hAnsi="Arial" w:cs="Arial"/>
          <w:sz w:val="22"/>
          <w:szCs w:val="22"/>
        </w:rPr>
        <w:t>carbon pricing schemes.</w:t>
      </w:r>
    </w:p>
    <w:p w14:paraId="2F07F47D" w14:textId="77777777" w:rsidR="006D2D4C" w:rsidRPr="00C542CC" w:rsidRDefault="006D2D4C" w:rsidP="006D2D4C">
      <w:pPr>
        <w:tabs>
          <w:tab w:val="clear" w:pos="567"/>
        </w:tabs>
        <w:spacing w:line="256" w:lineRule="auto"/>
        <w:jc w:val="both"/>
        <w:rPr>
          <w:rFonts w:ascii="Arial" w:eastAsiaTheme="minorHAnsi" w:hAnsi="Arial" w:cs="Arial"/>
          <w:sz w:val="22"/>
          <w:szCs w:val="22"/>
          <w:lang w:val="en-AU"/>
        </w:rPr>
      </w:pPr>
    </w:p>
    <w:p w14:paraId="5F3B2A7D" w14:textId="77777777" w:rsidR="006D2D4C" w:rsidRPr="00C542CC" w:rsidRDefault="006D2D4C" w:rsidP="006D2D4C">
      <w:pPr>
        <w:tabs>
          <w:tab w:val="clear" w:pos="567"/>
        </w:tabs>
        <w:spacing w:after="160" w:line="256" w:lineRule="auto"/>
        <w:jc w:val="both"/>
        <w:rPr>
          <w:rFonts w:ascii="Times New Roman" w:eastAsia="PMingLiU" w:hAnsi="Times New Roman" w:cs="Arial"/>
          <w:sz w:val="22"/>
          <w:szCs w:val="22"/>
          <w:lang w:val="en-US"/>
        </w:rPr>
      </w:pPr>
      <w:r w:rsidRPr="00C542CC">
        <w:rPr>
          <w:rFonts w:ascii="Arial" w:eastAsiaTheme="minorHAnsi" w:hAnsi="Arial" w:cs="Arial"/>
          <w:sz w:val="22"/>
          <w:szCs w:val="22"/>
          <w:lang w:val="en-AU"/>
        </w:rPr>
        <w:t xml:space="preserve">Capacity building </w:t>
      </w:r>
      <w:r w:rsidRPr="00C542CC">
        <w:rPr>
          <w:rFonts w:ascii="Arial" w:eastAsiaTheme="minorHAnsi" w:hAnsi="Arial" w:cs="Arial"/>
          <w:sz w:val="22"/>
          <w:szCs w:val="22"/>
          <w:lang w:val="en-GB"/>
        </w:rPr>
        <w:t xml:space="preserve">enables member economies to obtain, share, strengthen, maintain and develop knowledge, abilities, skills and technical know-how to improve their policies and regulations or their institutional structures or processes. </w:t>
      </w:r>
    </w:p>
    <w:p w14:paraId="7BD9D765" w14:textId="77777777" w:rsidR="006D2D4C" w:rsidRDefault="006D2D4C" w:rsidP="0030000E">
      <w:pPr>
        <w:tabs>
          <w:tab w:val="clear" w:pos="567"/>
        </w:tabs>
        <w:spacing w:after="160" w:line="240" w:lineRule="auto"/>
        <w:jc w:val="both"/>
        <w:rPr>
          <w:rFonts w:ascii="Arial" w:eastAsiaTheme="minorHAnsi" w:hAnsi="Arial" w:cs="Arial"/>
          <w:sz w:val="22"/>
          <w:szCs w:val="22"/>
          <w:lang w:val="en-AU"/>
        </w:rPr>
      </w:pPr>
      <w:r w:rsidRPr="00C542CC">
        <w:rPr>
          <w:rFonts w:ascii="Arial" w:eastAsiaTheme="minorHAnsi" w:hAnsi="Arial" w:cs="Arial"/>
          <w:sz w:val="22"/>
          <w:szCs w:val="22"/>
          <w:lang w:val="en-AU"/>
        </w:rPr>
        <w:t xml:space="preserve">The </w:t>
      </w:r>
      <w:r>
        <w:rPr>
          <w:rFonts w:ascii="Arial" w:eastAsiaTheme="minorHAnsi" w:hAnsi="Arial" w:cs="Arial"/>
          <w:sz w:val="22"/>
          <w:szCs w:val="22"/>
          <w:lang w:val="en-AU"/>
        </w:rPr>
        <w:t>SRS</w:t>
      </w:r>
      <w:r w:rsidR="008019A7">
        <w:rPr>
          <w:rFonts w:ascii="Arial" w:eastAsiaTheme="minorHAnsi" w:hAnsi="Arial" w:cs="Arial"/>
          <w:sz w:val="22"/>
          <w:szCs w:val="22"/>
          <w:lang w:val="en-AU"/>
        </w:rPr>
        <w:t>G</w:t>
      </w:r>
      <w:r>
        <w:rPr>
          <w:rFonts w:ascii="Arial" w:eastAsiaTheme="minorHAnsi" w:hAnsi="Arial" w:cs="Arial"/>
          <w:sz w:val="22"/>
          <w:szCs w:val="22"/>
          <w:lang w:val="en-AU"/>
        </w:rPr>
        <w:t>G</w:t>
      </w:r>
      <w:r w:rsidRPr="00C542CC">
        <w:rPr>
          <w:rFonts w:ascii="Arial" w:eastAsiaTheme="minorHAnsi" w:hAnsi="Arial" w:cs="Arial"/>
          <w:sz w:val="22"/>
          <w:szCs w:val="22"/>
          <w:lang w:val="en-AU"/>
        </w:rPr>
        <w:t xml:space="preserve"> </w:t>
      </w:r>
      <w:r>
        <w:rPr>
          <w:rFonts w:ascii="Arial" w:eastAsiaTheme="minorHAnsi" w:hAnsi="Arial" w:cs="Arial"/>
          <w:sz w:val="22"/>
          <w:szCs w:val="22"/>
          <w:lang w:val="en-AU"/>
        </w:rPr>
        <w:t>Sub-Fund</w:t>
      </w:r>
      <w:r w:rsidRPr="00C542CC">
        <w:rPr>
          <w:rFonts w:ascii="Arial" w:eastAsiaTheme="minorHAnsi" w:hAnsi="Arial" w:cs="Arial"/>
          <w:sz w:val="22"/>
          <w:szCs w:val="22"/>
          <w:lang w:val="en-AU"/>
        </w:rPr>
        <w:t xml:space="preserve"> builds on previous work to accelerate action on APEC’s strong, balanced, secure, sustainable and inclusive growth agenda. </w:t>
      </w:r>
      <w:r>
        <w:rPr>
          <w:rFonts w:ascii="Arial" w:eastAsiaTheme="minorHAnsi" w:hAnsi="Arial" w:cs="Arial"/>
          <w:sz w:val="22"/>
          <w:szCs w:val="22"/>
          <w:lang w:val="en-AU"/>
        </w:rPr>
        <w:t>Among others, i</w:t>
      </w:r>
      <w:r w:rsidRPr="00C542CC">
        <w:rPr>
          <w:rFonts w:ascii="Arial" w:eastAsiaTheme="minorHAnsi" w:hAnsi="Arial" w:cs="Arial"/>
          <w:sz w:val="22"/>
          <w:szCs w:val="22"/>
          <w:lang w:val="en-AU"/>
        </w:rPr>
        <w:t xml:space="preserve">t takes </w:t>
      </w:r>
      <w:r>
        <w:rPr>
          <w:rFonts w:ascii="Arial" w:eastAsiaTheme="minorHAnsi" w:hAnsi="Arial" w:cs="Arial"/>
          <w:sz w:val="22"/>
          <w:szCs w:val="22"/>
          <w:lang w:val="en-AU"/>
        </w:rPr>
        <w:t>into account</w:t>
      </w:r>
      <w:r w:rsidRPr="00C542CC">
        <w:rPr>
          <w:rFonts w:ascii="Arial" w:eastAsiaTheme="minorHAnsi" w:hAnsi="Arial" w:cs="Arial"/>
          <w:sz w:val="22"/>
          <w:szCs w:val="22"/>
          <w:lang w:val="en-AU"/>
        </w:rPr>
        <w:t xml:space="preserve"> the findings of the 2022 APEC Economic Policy Report: </w:t>
      </w:r>
      <w:r w:rsidRPr="00C542CC">
        <w:rPr>
          <w:rFonts w:ascii="Arial" w:eastAsiaTheme="minorHAnsi" w:hAnsi="Arial" w:cs="Arial"/>
          <w:i/>
          <w:sz w:val="22"/>
          <w:szCs w:val="22"/>
          <w:lang w:val="en-AU"/>
        </w:rPr>
        <w:t xml:space="preserve">Structural </w:t>
      </w:r>
      <w:r w:rsidR="00C36A17">
        <w:rPr>
          <w:rFonts w:ascii="Arial" w:eastAsiaTheme="minorHAnsi" w:hAnsi="Arial" w:cs="Arial"/>
          <w:i/>
          <w:sz w:val="22"/>
          <w:szCs w:val="22"/>
          <w:lang w:val="en-AU"/>
        </w:rPr>
        <w:t>R</w:t>
      </w:r>
      <w:r w:rsidRPr="00C542CC">
        <w:rPr>
          <w:rFonts w:ascii="Arial" w:eastAsiaTheme="minorHAnsi" w:hAnsi="Arial" w:cs="Arial"/>
          <w:i/>
          <w:sz w:val="22"/>
          <w:szCs w:val="22"/>
          <w:lang w:val="en-AU"/>
        </w:rPr>
        <w:t xml:space="preserve">eform and a </w:t>
      </w:r>
      <w:r w:rsidR="00C36A17">
        <w:rPr>
          <w:rFonts w:ascii="Arial" w:eastAsiaTheme="minorHAnsi" w:hAnsi="Arial" w:cs="Arial"/>
          <w:i/>
          <w:sz w:val="22"/>
          <w:szCs w:val="22"/>
          <w:lang w:val="en-AU"/>
        </w:rPr>
        <w:t>G</w:t>
      </w:r>
      <w:r w:rsidRPr="00C542CC">
        <w:rPr>
          <w:rFonts w:ascii="Arial" w:eastAsiaTheme="minorHAnsi" w:hAnsi="Arial" w:cs="Arial"/>
          <w:i/>
          <w:sz w:val="22"/>
          <w:szCs w:val="22"/>
          <w:lang w:val="en-AU"/>
        </w:rPr>
        <w:t xml:space="preserve">reen </w:t>
      </w:r>
      <w:r w:rsidR="00C36A17">
        <w:rPr>
          <w:rFonts w:ascii="Arial" w:eastAsiaTheme="minorHAnsi" w:hAnsi="Arial" w:cs="Arial"/>
          <w:i/>
          <w:sz w:val="22"/>
          <w:szCs w:val="22"/>
          <w:lang w:val="en-AU"/>
        </w:rPr>
        <w:t>R</w:t>
      </w:r>
      <w:r w:rsidRPr="00C542CC">
        <w:rPr>
          <w:rFonts w:ascii="Arial" w:eastAsiaTheme="minorHAnsi" w:hAnsi="Arial" w:cs="Arial"/>
          <w:i/>
          <w:sz w:val="22"/>
          <w:szCs w:val="22"/>
          <w:lang w:val="en-AU"/>
        </w:rPr>
        <w:t xml:space="preserve">ecovery from </w:t>
      </w:r>
      <w:r w:rsidR="00C36A17">
        <w:rPr>
          <w:rFonts w:ascii="Arial" w:eastAsiaTheme="minorHAnsi" w:hAnsi="Arial" w:cs="Arial"/>
          <w:i/>
          <w:sz w:val="22"/>
          <w:szCs w:val="22"/>
          <w:lang w:val="en-AU"/>
        </w:rPr>
        <w:t>E</w:t>
      </w:r>
      <w:r w:rsidRPr="00C542CC">
        <w:rPr>
          <w:rFonts w:ascii="Arial" w:eastAsiaTheme="minorHAnsi" w:hAnsi="Arial" w:cs="Arial"/>
          <w:i/>
          <w:sz w:val="22"/>
          <w:szCs w:val="22"/>
          <w:lang w:val="en-AU"/>
        </w:rPr>
        <w:t xml:space="preserve">conomic </w:t>
      </w:r>
      <w:r w:rsidR="00C36A17">
        <w:rPr>
          <w:rFonts w:ascii="Arial" w:eastAsiaTheme="minorHAnsi" w:hAnsi="Arial" w:cs="Arial"/>
          <w:i/>
          <w:sz w:val="22"/>
          <w:szCs w:val="22"/>
          <w:lang w:val="en-AU"/>
        </w:rPr>
        <w:t>S</w:t>
      </w:r>
      <w:r w:rsidRPr="00C542CC">
        <w:rPr>
          <w:rFonts w:ascii="Arial" w:eastAsiaTheme="minorHAnsi" w:hAnsi="Arial" w:cs="Arial"/>
          <w:i/>
          <w:sz w:val="22"/>
          <w:szCs w:val="22"/>
          <w:lang w:val="en-AU"/>
        </w:rPr>
        <w:t>hocks</w:t>
      </w:r>
      <w:r w:rsidRPr="00C542CC">
        <w:rPr>
          <w:rFonts w:ascii="Arial" w:eastAsiaTheme="minorHAnsi" w:hAnsi="Arial" w:cs="Arial"/>
          <w:sz w:val="22"/>
          <w:szCs w:val="22"/>
          <w:lang w:val="en-AU"/>
        </w:rPr>
        <w:t xml:space="preserve">, which provides APEC economies with recommendations for structural reforms aimed at achieving economic growth that responds to climate change and environmental threats. </w:t>
      </w:r>
    </w:p>
    <w:p w14:paraId="6F2943A9" w14:textId="77777777" w:rsidR="0030000E" w:rsidRPr="0030000E" w:rsidRDefault="0030000E" w:rsidP="0030000E">
      <w:pPr>
        <w:tabs>
          <w:tab w:val="clear" w:pos="567"/>
        </w:tabs>
        <w:spacing w:after="160" w:line="240" w:lineRule="auto"/>
        <w:jc w:val="both"/>
        <w:rPr>
          <w:rFonts w:ascii="Arial" w:eastAsiaTheme="minorHAnsi" w:hAnsi="Arial" w:cs="Arial"/>
          <w:sz w:val="22"/>
          <w:szCs w:val="22"/>
          <w:lang w:val="en-AU"/>
        </w:rPr>
      </w:pPr>
    </w:p>
    <w:p w14:paraId="1D15A1E8" w14:textId="77777777" w:rsidR="006D2D4C" w:rsidRPr="00C542CC" w:rsidRDefault="006D2D4C" w:rsidP="006D2D4C">
      <w:pPr>
        <w:shd w:val="clear" w:color="auto" w:fill="FFFFFF"/>
        <w:tabs>
          <w:tab w:val="clear" w:pos="567"/>
        </w:tabs>
        <w:spacing w:line="256" w:lineRule="auto"/>
        <w:jc w:val="both"/>
        <w:rPr>
          <w:rFonts w:ascii="Arial" w:eastAsiaTheme="minorHAnsi" w:hAnsi="Arial" w:cs="Arial"/>
          <w:b/>
          <w:color w:val="000000"/>
          <w:sz w:val="22"/>
          <w:szCs w:val="22"/>
          <w:lang w:val="en-US"/>
        </w:rPr>
      </w:pPr>
      <w:r w:rsidRPr="00C542CC">
        <w:rPr>
          <w:rFonts w:ascii="Arial" w:eastAsiaTheme="minorHAnsi" w:hAnsi="Arial" w:cs="Arial"/>
          <w:b/>
          <w:color w:val="000000"/>
          <w:sz w:val="22"/>
          <w:szCs w:val="22"/>
          <w:lang w:val="en-US"/>
        </w:rPr>
        <w:t>Eligibility Criteria</w:t>
      </w:r>
    </w:p>
    <w:p w14:paraId="61F11054" w14:textId="77777777" w:rsidR="006D2D4C" w:rsidRPr="00C542CC" w:rsidRDefault="006D2D4C" w:rsidP="006D2D4C">
      <w:pPr>
        <w:shd w:val="clear" w:color="auto" w:fill="FFFFFF"/>
        <w:tabs>
          <w:tab w:val="clear" w:pos="567"/>
        </w:tabs>
        <w:spacing w:line="256" w:lineRule="auto"/>
        <w:jc w:val="both"/>
        <w:rPr>
          <w:rFonts w:ascii="Arial" w:eastAsiaTheme="minorHAnsi" w:hAnsi="Arial" w:cs="Arial"/>
          <w:color w:val="000000"/>
          <w:sz w:val="22"/>
          <w:szCs w:val="22"/>
          <w:lang w:val="en-US"/>
        </w:rPr>
      </w:pPr>
    </w:p>
    <w:p w14:paraId="780C588E" w14:textId="77777777" w:rsidR="006D2D4C" w:rsidRPr="00C542CC" w:rsidRDefault="006D2D4C" w:rsidP="006D2D4C">
      <w:pPr>
        <w:shd w:val="clear" w:color="auto" w:fill="FFFFFF"/>
        <w:tabs>
          <w:tab w:val="clear" w:pos="567"/>
        </w:tabs>
        <w:spacing w:after="160" w:line="256" w:lineRule="auto"/>
        <w:jc w:val="both"/>
        <w:rPr>
          <w:rFonts w:ascii="Arial" w:eastAsiaTheme="minorHAnsi" w:hAnsi="Arial" w:cs="Arial"/>
          <w:color w:val="000000"/>
          <w:sz w:val="22"/>
          <w:szCs w:val="22"/>
          <w:lang w:val="en-US"/>
        </w:rPr>
      </w:pPr>
      <w:r w:rsidRPr="00C542CC">
        <w:rPr>
          <w:rFonts w:ascii="Arial" w:eastAsiaTheme="minorHAnsi" w:hAnsi="Arial" w:cs="Arial"/>
          <w:color w:val="000000"/>
          <w:sz w:val="22"/>
          <w:szCs w:val="22"/>
          <w:lang w:val="en-US"/>
        </w:rPr>
        <w:t xml:space="preserve">To be considered eligible for the </w:t>
      </w:r>
      <w:r>
        <w:rPr>
          <w:rFonts w:ascii="Arial" w:eastAsiaTheme="minorHAnsi" w:hAnsi="Arial" w:cs="Arial"/>
          <w:color w:val="000000"/>
          <w:sz w:val="22"/>
          <w:szCs w:val="22"/>
          <w:lang w:val="en-US"/>
        </w:rPr>
        <w:t>SRS</w:t>
      </w:r>
      <w:r w:rsidR="008019A7">
        <w:rPr>
          <w:rFonts w:ascii="Arial" w:eastAsiaTheme="minorHAnsi" w:hAnsi="Arial" w:cs="Arial"/>
          <w:color w:val="000000"/>
          <w:sz w:val="22"/>
          <w:szCs w:val="22"/>
          <w:lang w:val="en-US"/>
        </w:rPr>
        <w:t>G</w:t>
      </w:r>
      <w:r>
        <w:rPr>
          <w:rFonts w:ascii="Arial" w:eastAsiaTheme="minorHAnsi" w:hAnsi="Arial" w:cs="Arial"/>
          <w:color w:val="000000"/>
          <w:sz w:val="22"/>
          <w:szCs w:val="22"/>
          <w:lang w:val="en-US"/>
        </w:rPr>
        <w:t>G</w:t>
      </w:r>
      <w:r w:rsidRPr="00C542CC">
        <w:rPr>
          <w:rFonts w:ascii="Arial" w:eastAsiaTheme="minorHAnsi" w:hAnsi="Arial" w:cs="Arial"/>
          <w:color w:val="000000"/>
          <w:sz w:val="22"/>
          <w:szCs w:val="22"/>
          <w:lang w:val="en-US"/>
        </w:rPr>
        <w:t xml:space="preserve"> </w:t>
      </w:r>
      <w:r>
        <w:rPr>
          <w:rFonts w:ascii="Arial" w:eastAsiaTheme="minorHAnsi" w:hAnsi="Arial" w:cs="Arial"/>
          <w:color w:val="000000"/>
          <w:sz w:val="22"/>
          <w:szCs w:val="22"/>
          <w:lang w:val="en-US"/>
        </w:rPr>
        <w:t>Sub-Fund</w:t>
      </w:r>
      <w:r w:rsidRPr="00C542CC">
        <w:rPr>
          <w:rFonts w:ascii="Arial" w:eastAsiaTheme="minorHAnsi" w:hAnsi="Arial" w:cs="Arial"/>
          <w:color w:val="000000"/>
          <w:sz w:val="22"/>
          <w:szCs w:val="22"/>
          <w:lang w:val="en-US"/>
        </w:rPr>
        <w:t>, C</w:t>
      </w:r>
      <w:r>
        <w:rPr>
          <w:rFonts w:ascii="Arial" w:eastAsiaTheme="minorHAnsi" w:hAnsi="Arial" w:cs="Arial"/>
          <w:color w:val="000000"/>
          <w:sz w:val="22"/>
          <w:szCs w:val="22"/>
          <w:lang w:val="en-US"/>
        </w:rPr>
        <w:t xml:space="preserve">oncept </w:t>
      </w:r>
      <w:r w:rsidRPr="00C542CC">
        <w:rPr>
          <w:rFonts w:ascii="Arial" w:eastAsiaTheme="minorHAnsi" w:hAnsi="Arial" w:cs="Arial"/>
          <w:color w:val="000000"/>
          <w:sz w:val="22"/>
          <w:szCs w:val="22"/>
          <w:lang w:val="en-US"/>
        </w:rPr>
        <w:t>N</w:t>
      </w:r>
      <w:r>
        <w:rPr>
          <w:rFonts w:ascii="Arial" w:eastAsiaTheme="minorHAnsi" w:hAnsi="Arial" w:cs="Arial"/>
          <w:color w:val="000000"/>
          <w:sz w:val="22"/>
          <w:szCs w:val="22"/>
          <w:lang w:val="en-US"/>
        </w:rPr>
        <w:t>ote</w:t>
      </w:r>
      <w:r w:rsidRPr="00C542CC">
        <w:rPr>
          <w:rFonts w:ascii="Arial" w:eastAsiaTheme="minorHAnsi" w:hAnsi="Arial" w:cs="Arial"/>
          <w:color w:val="000000"/>
          <w:sz w:val="22"/>
          <w:szCs w:val="22"/>
          <w:lang w:val="en-US"/>
        </w:rPr>
        <w:t xml:space="preserve">s </w:t>
      </w:r>
      <w:r>
        <w:rPr>
          <w:rFonts w:ascii="Arial" w:eastAsiaTheme="minorHAnsi" w:hAnsi="Arial" w:cs="Arial"/>
          <w:color w:val="000000"/>
          <w:sz w:val="22"/>
          <w:szCs w:val="22"/>
          <w:lang w:val="en-US"/>
        </w:rPr>
        <w:t>need to</w:t>
      </w:r>
      <w:r w:rsidRPr="00C542CC">
        <w:rPr>
          <w:rFonts w:ascii="Arial" w:eastAsiaTheme="minorHAnsi" w:hAnsi="Arial" w:cs="Arial"/>
          <w:color w:val="000000"/>
          <w:sz w:val="22"/>
          <w:szCs w:val="22"/>
          <w:lang w:val="en-US"/>
        </w:rPr>
        <w:t xml:space="preserve">: </w:t>
      </w:r>
    </w:p>
    <w:p w14:paraId="0CAE2AF6" w14:textId="77777777" w:rsidR="006D2D4C" w:rsidRPr="00C542CC" w:rsidRDefault="006D2D4C" w:rsidP="006D2D4C">
      <w:pPr>
        <w:numPr>
          <w:ilvl w:val="0"/>
          <w:numId w:val="8"/>
        </w:numPr>
        <w:tabs>
          <w:tab w:val="clear" w:pos="567"/>
        </w:tabs>
        <w:spacing w:after="200" w:line="240" w:lineRule="auto"/>
        <w:contextualSpacing/>
        <w:jc w:val="both"/>
        <w:rPr>
          <w:rFonts w:ascii="Arial" w:hAnsi="Arial" w:cs="Arial"/>
          <w:sz w:val="22"/>
          <w:szCs w:val="22"/>
        </w:rPr>
      </w:pPr>
      <w:r w:rsidRPr="00C542CC">
        <w:rPr>
          <w:rFonts w:ascii="Arial" w:hAnsi="Arial" w:cs="Arial"/>
          <w:color w:val="000000"/>
          <w:sz w:val="22"/>
          <w:szCs w:val="22"/>
          <w:lang w:val="en-US"/>
        </w:rPr>
        <w:t xml:space="preserve">Demonstrate that their project will build capacity to develop and implement structural </w:t>
      </w:r>
      <w:r w:rsidRPr="00D46543">
        <w:rPr>
          <w:rFonts w:ascii="Arial" w:hAnsi="Arial" w:cs="Arial"/>
          <w:color w:val="000000"/>
          <w:sz w:val="22"/>
          <w:szCs w:val="22"/>
          <w:lang w:val="en-US"/>
        </w:rPr>
        <w:t xml:space="preserve">reforms that </w:t>
      </w:r>
      <w:r>
        <w:rPr>
          <w:rFonts w:ascii="Arial" w:hAnsi="Arial" w:cs="Arial"/>
          <w:color w:val="000000"/>
          <w:sz w:val="22"/>
          <w:szCs w:val="22"/>
          <w:lang w:val="en-US"/>
        </w:rPr>
        <w:t>promote sustainable growth through</w:t>
      </w:r>
      <w:r w:rsidRPr="00D46543">
        <w:rPr>
          <w:rFonts w:ascii="Arial" w:hAnsi="Arial" w:cs="Arial"/>
          <w:color w:val="000000"/>
          <w:sz w:val="22"/>
          <w:szCs w:val="22"/>
          <w:lang w:val="en-US"/>
        </w:rPr>
        <w:t xml:space="preserve"> climate </w:t>
      </w:r>
      <w:r w:rsidR="008019A7">
        <w:rPr>
          <w:rFonts w:ascii="Arial" w:hAnsi="Arial" w:cs="Arial"/>
          <w:color w:val="000000"/>
          <w:sz w:val="22"/>
          <w:szCs w:val="22"/>
          <w:lang w:val="en-US"/>
        </w:rPr>
        <w:t>related</w:t>
      </w:r>
      <w:r>
        <w:rPr>
          <w:rFonts w:ascii="Arial" w:hAnsi="Arial" w:cs="Arial"/>
          <w:color w:val="000000"/>
          <w:sz w:val="22"/>
          <w:szCs w:val="22"/>
          <w:lang w:val="en-US"/>
        </w:rPr>
        <w:t xml:space="preserve"> </w:t>
      </w:r>
      <w:r w:rsidRPr="00D46543">
        <w:rPr>
          <w:rFonts w:ascii="Arial" w:hAnsi="Arial" w:cs="Arial"/>
          <w:color w:val="000000"/>
          <w:sz w:val="22"/>
          <w:szCs w:val="22"/>
          <w:lang w:val="en-US"/>
        </w:rPr>
        <w:t>objectives of the</w:t>
      </w:r>
      <w:r w:rsidRPr="00C542CC">
        <w:rPr>
          <w:rFonts w:ascii="Arial" w:hAnsi="Arial" w:cs="Arial"/>
          <w:color w:val="000000"/>
          <w:sz w:val="22"/>
          <w:szCs w:val="22"/>
          <w:lang w:val="en-US"/>
        </w:rPr>
        <w:t xml:space="preserve"> Putrajaya Vision 2040, as reflected in the Aotearoa Plan of Action and the </w:t>
      </w:r>
      <w:r>
        <w:rPr>
          <w:rFonts w:ascii="Arial" w:hAnsi="Arial" w:cs="Arial"/>
          <w:color w:val="000000"/>
          <w:sz w:val="22"/>
          <w:szCs w:val="22"/>
          <w:lang w:val="en-US"/>
        </w:rPr>
        <w:t>four</w:t>
      </w:r>
      <w:r w:rsidRPr="00C542CC">
        <w:rPr>
          <w:rFonts w:ascii="Arial" w:hAnsi="Arial" w:cs="Arial"/>
          <w:color w:val="000000"/>
          <w:sz w:val="22"/>
          <w:szCs w:val="22"/>
          <w:lang w:val="en-US"/>
        </w:rPr>
        <w:t xml:space="preserve"> pillars of the Enhanced APEC Agenda on Structural Reform (EAASR). </w:t>
      </w:r>
      <w:r w:rsidRPr="00C542CC">
        <w:rPr>
          <w:rFonts w:ascii="Arial" w:hAnsi="Arial" w:cs="Arial"/>
          <w:sz w:val="22"/>
          <w:szCs w:val="22"/>
        </w:rPr>
        <w:t xml:space="preserve">For example, developing </w:t>
      </w:r>
      <w:r w:rsidRPr="00C542CC">
        <w:rPr>
          <w:rFonts w:ascii="Arial" w:hAnsi="Arial" w:cs="Arial"/>
          <w:color w:val="000000"/>
          <w:sz w:val="22"/>
          <w:szCs w:val="22"/>
          <w:lang w:val="en-US"/>
        </w:rPr>
        <w:t>structural reform toolkits and online resources,</w:t>
      </w:r>
      <w:r w:rsidRPr="00C542CC">
        <w:rPr>
          <w:rFonts w:ascii="Arial" w:hAnsi="Arial" w:cs="Arial"/>
          <w:sz w:val="22"/>
          <w:szCs w:val="22"/>
        </w:rPr>
        <w:t xml:space="preserve"> acquiring a particular set of technical skills, obtaining new knowledge or gaining e</w:t>
      </w:r>
      <w:r>
        <w:rPr>
          <w:rFonts w:ascii="Arial" w:hAnsi="Arial" w:cs="Arial"/>
          <w:sz w:val="22"/>
          <w:szCs w:val="22"/>
        </w:rPr>
        <w:t>xperience through hands-on work.</w:t>
      </w:r>
    </w:p>
    <w:p w14:paraId="10B2DE16" w14:textId="77777777" w:rsidR="006D2D4C" w:rsidRPr="00C542CC" w:rsidRDefault="006D2D4C" w:rsidP="006D2D4C">
      <w:pPr>
        <w:numPr>
          <w:ilvl w:val="0"/>
          <w:numId w:val="8"/>
        </w:numPr>
        <w:shd w:val="clear" w:color="auto" w:fill="FFFFFF"/>
        <w:tabs>
          <w:tab w:val="clear" w:pos="567"/>
        </w:tabs>
        <w:spacing w:after="160" w:line="240" w:lineRule="auto"/>
        <w:contextualSpacing/>
        <w:jc w:val="both"/>
        <w:rPr>
          <w:rFonts w:ascii="Arial" w:hAnsi="Arial" w:cs="Arial"/>
          <w:color w:val="000000"/>
          <w:sz w:val="22"/>
          <w:szCs w:val="22"/>
          <w:lang w:val="en-US"/>
        </w:rPr>
      </w:pPr>
      <w:r w:rsidRPr="00C542CC">
        <w:rPr>
          <w:rFonts w:ascii="Arial" w:hAnsi="Arial" w:cs="Arial"/>
          <w:sz w:val="22"/>
          <w:szCs w:val="22"/>
        </w:rPr>
        <w:t xml:space="preserve">Focus </w:t>
      </w:r>
      <w:r>
        <w:rPr>
          <w:rFonts w:ascii="Arial" w:hAnsi="Arial" w:cs="Arial"/>
          <w:sz w:val="22"/>
          <w:szCs w:val="22"/>
        </w:rPr>
        <w:t>SRS</w:t>
      </w:r>
      <w:r w:rsidR="008019A7">
        <w:rPr>
          <w:rFonts w:ascii="Arial" w:hAnsi="Arial" w:cs="Arial"/>
          <w:sz w:val="22"/>
          <w:szCs w:val="22"/>
        </w:rPr>
        <w:t>G</w:t>
      </w:r>
      <w:r>
        <w:rPr>
          <w:rFonts w:ascii="Arial" w:hAnsi="Arial" w:cs="Arial"/>
          <w:sz w:val="22"/>
          <w:szCs w:val="22"/>
        </w:rPr>
        <w:t xml:space="preserve">G </w:t>
      </w:r>
      <w:r w:rsidRPr="00C542CC">
        <w:rPr>
          <w:rFonts w:ascii="Arial" w:hAnsi="Arial" w:cs="Arial"/>
          <w:sz w:val="22"/>
          <w:szCs w:val="22"/>
        </w:rPr>
        <w:t>capacity-building on those with responsibility for developing structural reform programme</w:t>
      </w:r>
      <w:r>
        <w:rPr>
          <w:rFonts w:ascii="Arial" w:hAnsi="Arial" w:cs="Arial"/>
          <w:sz w:val="22"/>
          <w:szCs w:val="22"/>
        </w:rPr>
        <w:t>s or policies across government.</w:t>
      </w:r>
    </w:p>
    <w:p w14:paraId="38FEA6BE" w14:textId="77777777" w:rsidR="006D2D4C" w:rsidRPr="00C542CC" w:rsidRDefault="006D2D4C" w:rsidP="006D2D4C">
      <w:pPr>
        <w:widowControl w:val="0"/>
        <w:numPr>
          <w:ilvl w:val="0"/>
          <w:numId w:val="8"/>
        </w:numPr>
        <w:tabs>
          <w:tab w:val="clear" w:pos="567"/>
        </w:tabs>
        <w:spacing w:after="160" w:line="240" w:lineRule="auto"/>
        <w:jc w:val="both"/>
        <w:rPr>
          <w:rFonts w:ascii="Arial" w:hAnsi="Arial" w:cs="Arial"/>
          <w:sz w:val="22"/>
          <w:szCs w:val="22"/>
        </w:rPr>
      </w:pPr>
      <w:r w:rsidRPr="00C542CC">
        <w:rPr>
          <w:rFonts w:ascii="Arial" w:hAnsi="Arial" w:cs="Arial"/>
          <w:sz w:val="22"/>
          <w:szCs w:val="22"/>
        </w:rPr>
        <w:t xml:space="preserve">Foster the exchange of experiences and expertise relevant to the implementation of </w:t>
      </w:r>
      <w:r>
        <w:rPr>
          <w:rFonts w:ascii="Arial" w:hAnsi="Arial" w:cs="Arial"/>
          <w:sz w:val="22"/>
          <w:szCs w:val="22"/>
        </w:rPr>
        <w:t>SRS</w:t>
      </w:r>
      <w:r w:rsidR="008019A7">
        <w:rPr>
          <w:rFonts w:ascii="Arial" w:hAnsi="Arial" w:cs="Arial"/>
          <w:sz w:val="22"/>
          <w:szCs w:val="22"/>
        </w:rPr>
        <w:t>G</w:t>
      </w:r>
      <w:r>
        <w:rPr>
          <w:rFonts w:ascii="Arial" w:hAnsi="Arial" w:cs="Arial"/>
          <w:sz w:val="22"/>
          <w:szCs w:val="22"/>
        </w:rPr>
        <w:t>G</w:t>
      </w:r>
      <w:r w:rsidRPr="00C542CC">
        <w:rPr>
          <w:rFonts w:ascii="Arial" w:hAnsi="Arial" w:cs="Arial"/>
          <w:sz w:val="22"/>
          <w:szCs w:val="22"/>
        </w:rPr>
        <w:t xml:space="preserve"> activities on climate mitigation and adaptation.</w:t>
      </w:r>
    </w:p>
    <w:p w14:paraId="1C4F9C12" w14:textId="77777777" w:rsidR="006D2D4C" w:rsidRPr="00C542CC" w:rsidRDefault="006D2D4C" w:rsidP="006D2D4C">
      <w:pPr>
        <w:tabs>
          <w:tab w:val="clear" w:pos="567"/>
        </w:tabs>
        <w:spacing w:after="160" w:line="254" w:lineRule="auto"/>
        <w:jc w:val="both"/>
        <w:rPr>
          <w:rFonts w:ascii="Arial" w:eastAsia="Calibri" w:hAnsi="Arial" w:cs="Arial"/>
          <w:color w:val="000000"/>
          <w:sz w:val="24"/>
          <w:lang w:val="en-US"/>
        </w:rPr>
      </w:pPr>
      <w:r w:rsidRPr="00C542CC">
        <w:rPr>
          <w:rFonts w:ascii="Arial" w:eastAsia="Calibri" w:hAnsi="Arial" w:cs="Arial"/>
          <w:color w:val="000000"/>
          <w:sz w:val="22"/>
          <w:lang w:val="en-AU"/>
        </w:rPr>
        <w:t xml:space="preserve">In developing Concept Notes and related Project Proposals, economies should also consider addressing how the project: </w:t>
      </w:r>
    </w:p>
    <w:p w14:paraId="3523183C" w14:textId="77777777" w:rsidR="006D2D4C" w:rsidRPr="00C542CC" w:rsidRDefault="006D2D4C" w:rsidP="00DE3944">
      <w:pPr>
        <w:numPr>
          <w:ilvl w:val="0"/>
          <w:numId w:val="9"/>
        </w:numPr>
        <w:shd w:val="clear" w:color="auto" w:fill="FFFFFF"/>
        <w:tabs>
          <w:tab w:val="clear" w:pos="567"/>
        </w:tabs>
        <w:spacing w:line="240" w:lineRule="auto"/>
        <w:contextualSpacing/>
        <w:jc w:val="both"/>
        <w:rPr>
          <w:rFonts w:ascii="Arial" w:hAnsi="Arial" w:cs="Arial"/>
          <w:sz w:val="22"/>
          <w:szCs w:val="22"/>
          <w:lang w:val="en-AU" w:eastAsia="en-AU"/>
        </w:rPr>
      </w:pPr>
      <w:r>
        <w:rPr>
          <w:rFonts w:ascii="Arial" w:hAnsi="Arial" w:cs="Arial"/>
          <w:sz w:val="22"/>
          <w:szCs w:val="22"/>
          <w:shd w:val="clear" w:color="auto" w:fill="FFFFFF"/>
        </w:rPr>
        <w:t>contributes to</w:t>
      </w:r>
      <w:r w:rsidRPr="00C542CC">
        <w:rPr>
          <w:rFonts w:ascii="Arial" w:hAnsi="Arial" w:cs="Arial"/>
          <w:sz w:val="22"/>
          <w:szCs w:val="22"/>
          <w:shd w:val="clear" w:color="auto" w:fill="FFFFFF"/>
        </w:rPr>
        <w:t xml:space="preserve"> the </w:t>
      </w:r>
      <w:r>
        <w:rPr>
          <w:rFonts w:ascii="Arial" w:hAnsi="Arial" w:cs="Arial"/>
          <w:sz w:val="22"/>
          <w:szCs w:val="22"/>
          <w:shd w:val="clear" w:color="auto" w:fill="FFFFFF"/>
        </w:rPr>
        <w:t xml:space="preserve">implementation of the </w:t>
      </w:r>
      <w:r w:rsidRPr="00C542CC">
        <w:rPr>
          <w:rFonts w:ascii="Arial" w:hAnsi="Arial" w:cs="Arial"/>
          <w:sz w:val="22"/>
          <w:szCs w:val="22"/>
          <w:shd w:val="clear" w:color="auto" w:fill="FFFFFF"/>
        </w:rPr>
        <w:t xml:space="preserve">La Serena Roadmap </w:t>
      </w:r>
      <w:r>
        <w:rPr>
          <w:rFonts w:ascii="Arial" w:hAnsi="Arial" w:cs="Arial"/>
          <w:sz w:val="22"/>
          <w:szCs w:val="22"/>
          <w:shd w:val="clear" w:color="auto" w:fill="FFFFFF"/>
        </w:rPr>
        <w:t>for Women and Inclusive Growth</w:t>
      </w:r>
      <w:r w:rsidRPr="00C542CC">
        <w:rPr>
          <w:rFonts w:ascii="Arial" w:hAnsi="Arial" w:cs="Arial"/>
          <w:sz w:val="22"/>
          <w:szCs w:val="22"/>
          <w:shd w:val="clear" w:color="auto" w:fill="FFFFFF"/>
        </w:rPr>
        <w:t>;</w:t>
      </w:r>
    </w:p>
    <w:p w14:paraId="1E658A65" w14:textId="77777777" w:rsidR="006D2D4C" w:rsidRDefault="006D2D4C" w:rsidP="00DE3944">
      <w:pPr>
        <w:pStyle w:val="ListParagraph"/>
        <w:numPr>
          <w:ilvl w:val="0"/>
          <w:numId w:val="9"/>
        </w:numPr>
        <w:shd w:val="clear" w:color="auto" w:fill="FFFFFF"/>
        <w:tabs>
          <w:tab w:val="clear" w:pos="567"/>
        </w:tabs>
        <w:spacing w:line="240" w:lineRule="auto"/>
        <w:jc w:val="both"/>
        <w:rPr>
          <w:rFonts w:ascii="Arial" w:hAnsi="Arial" w:cs="Arial"/>
          <w:sz w:val="22"/>
          <w:szCs w:val="22"/>
          <w:lang w:val="en-AU" w:eastAsia="en-AU"/>
        </w:rPr>
      </w:pPr>
      <w:r w:rsidRPr="00064270">
        <w:rPr>
          <w:rFonts w:ascii="Arial" w:hAnsi="Arial" w:cs="Arial"/>
          <w:sz w:val="22"/>
          <w:szCs w:val="22"/>
          <w:lang w:val="en-AU" w:eastAsia="en-AU"/>
        </w:rPr>
        <w:t xml:space="preserve">takes forward APEC’s inclusive growth agenda to support other groups with untapped economic potential; </w:t>
      </w:r>
    </w:p>
    <w:p w14:paraId="387AFAF1" w14:textId="77777777" w:rsidR="006D2D4C" w:rsidRDefault="006D2D4C" w:rsidP="00DE3944">
      <w:pPr>
        <w:pStyle w:val="NormalWeb"/>
        <w:numPr>
          <w:ilvl w:val="0"/>
          <w:numId w:val="9"/>
        </w:numPr>
        <w:shd w:val="clear" w:color="auto" w:fill="FFFFFF"/>
        <w:spacing w:before="0" w:beforeAutospacing="0" w:after="0" w:afterAutospacing="0"/>
        <w:jc w:val="both"/>
        <w:rPr>
          <w:rFonts w:asciiTheme="minorHAnsi" w:hAnsiTheme="minorHAnsi" w:cstheme="minorHAnsi"/>
          <w:sz w:val="22"/>
          <w:szCs w:val="22"/>
        </w:rPr>
      </w:pPr>
      <w:r w:rsidRPr="00996AC7">
        <w:rPr>
          <w:rFonts w:ascii="Arial" w:hAnsi="Arial" w:cs="Arial"/>
          <w:sz w:val="22"/>
          <w:szCs w:val="22"/>
          <w:lang w:val="en-AU" w:eastAsia="en-AU" w:bidi="ar-SA"/>
        </w:rPr>
        <w:t>enhance</w:t>
      </w:r>
      <w:r>
        <w:rPr>
          <w:rFonts w:ascii="Arial" w:hAnsi="Arial" w:cs="Arial"/>
          <w:sz w:val="22"/>
          <w:szCs w:val="22"/>
          <w:lang w:val="en-AU" w:eastAsia="en-AU" w:bidi="ar-SA"/>
        </w:rPr>
        <w:t>s</w:t>
      </w:r>
      <w:r w:rsidRPr="00996AC7">
        <w:rPr>
          <w:rFonts w:ascii="Arial" w:hAnsi="Arial" w:cs="Arial"/>
          <w:sz w:val="22"/>
          <w:szCs w:val="22"/>
          <w:lang w:val="en-AU" w:eastAsia="en-AU" w:bidi="ar-SA"/>
        </w:rPr>
        <w:t xml:space="preserve"> cross-fora collaboration to </w:t>
      </w:r>
      <w:r w:rsidRPr="00996AC7">
        <w:rPr>
          <w:rFonts w:ascii="Arial" w:hAnsi="Arial" w:cs="Arial"/>
          <w:sz w:val="22"/>
          <w:szCs w:val="22"/>
          <w:shd w:val="clear" w:color="auto" w:fill="FFFFFF"/>
        </w:rPr>
        <w:t>strengthen policy coordination and effectiveness.</w:t>
      </w:r>
    </w:p>
    <w:p w14:paraId="60F9B682" w14:textId="77777777" w:rsidR="006D2D4C" w:rsidRDefault="006D2D4C" w:rsidP="006D2D4C">
      <w:pPr>
        <w:shd w:val="clear" w:color="auto" w:fill="FFFFFF"/>
        <w:tabs>
          <w:tab w:val="clear" w:pos="567"/>
        </w:tabs>
        <w:spacing w:after="160" w:line="256" w:lineRule="auto"/>
        <w:rPr>
          <w:rFonts w:ascii="Arial" w:eastAsiaTheme="minorHAnsi" w:hAnsi="Arial" w:cs="Arial"/>
          <w:b/>
          <w:sz w:val="22"/>
          <w:szCs w:val="22"/>
          <w:lang w:val="en-GB"/>
        </w:rPr>
      </w:pPr>
    </w:p>
    <w:p w14:paraId="66DB7397" w14:textId="77777777" w:rsidR="006D2D4C" w:rsidRPr="00C542CC" w:rsidRDefault="006D2D4C" w:rsidP="006D2D4C">
      <w:pPr>
        <w:shd w:val="clear" w:color="auto" w:fill="FFFFFF"/>
        <w:tabs>
          <w:tab w:val="clear" w:pos="567"/>
        </w:tabs>
        <w:spacing w:after="160" w:line="256" w:lineRule="auto"/>
        <w:rPr>
          <w:rFonts w:ascii="Arial" w:eastAsiaTheme="minorHAnsi" w:hAnsi="Arial" w:cs="Arial"/>
          <w:b/>
          <w:sz w:val="22"/>
          <w:szCs w:val="22"/>
          <w:lang w:val="en-GB"/>
        </w:rPr>
      </w:pPr>
      <w:r w:rsidRPr="00C542CC">
        <w:rPr>
          <w:rFonts w:ascii="Arial" w:eastAsiaTheme="minorHAnsi" w:hAnsi="Arial" w:cs="Arial"/>
          <w:b/>
          <w:sz w:val="22"/>
          <w:szCs w:val="22"/>
          <w:lang w:val="en-GB"/>
        </w:rPr>
        <w:t xml:space="preserve">Guidelines to access the </w:t>
      </w:r>
      <w:r>
        <w:rPr>
          <w:rFonts w:ascii="Arial" w:eastAsiaTheme="minorHAnsi" w:hAnsi="Arial" w:cs="Arial"/>
          <w:b/>
          <w:sz w:val="22"/>
          <w:szCs w:val="22"/>
          <w:lang w:val="en-GB"/>
        </w:rPr>
        <w:t>SRS</w:t>
      </w:r>
      <w:r w:rsidR="008019A7">
        <w:rPr>
          <w:rFonts w:ascii="Arial" w:eastAsiaTheme="minorHAnsi" w:hAnsi="Arial" w:cs="Arial"/>
          <w:b/>
          <w:sz w:val="22"/>
          <w:szCs w:val="22"/>
          <w:lang w:val="en-GB"/>
        </w:rPr>
        <w:t>G</w:t>
      </w:r>
      <w:r>
        <w:rPr>
          <w:rFonts w:ascii="Arial" w:eastAsiaTheme="minorHAnsi" w:hAnsi="Arial" w:cs="Arial"/>
          <w:b/>
          <w:sz w:val="22"/>
          <w:szCs w:val="22"/>
          <w:lang w:val="en-GB"/>
        </w:rPr>
        <w:t>G</w:t>
      </w:r>
      <w:r w:rsidRPr="00C542CC">
        <w:rPr>
          <w:rFonts w:ascii="Arial" w:eastAsiaTheme="minorHAnsi" w:hAnsi="Arial" w:cs="Arial"/>
          <w:b/>
          <w:sz w:val="22"/>
          <w:szCs w:val="22"/>
          <w:lang w:val="en-GB"/>
        </w:rPr>
        <w:t xml:space="preserve"> </w:t>
      </w:r>
      <w:r>
        <w:rPr>
          <w:rFonts w:ascii="Arial" w:eastAsiaTheme="minorHAnsi" w:hAnsi="Arial" w:cs="Arial"/>
          <w:b/>
          <w:sz w:val="22"/>
          <w:szCs w:val="22"/>
          <w:lang w:val="en-GB"/>
        </w:rPr>
        <w:t>Sub-Fund</w:t>
      </w:r>
    </w:p>
    <w:p w14:paraId="0BEE43F2" w14:textId="77777777" w:rsidR="006D2D4C" w:rsidRPr="00741592" w:rsidRDefault="006D2D4C" w:rsidP="00DE3944">
      <w:pPr>
        <w:shd w:val="clear" w:color="auto" w:fill="FFFFFF"/>
        <w:spacing w:line="240" w:lineRule="auto"/>
        <w:jc w:val="both"/>
        <w:rPr>
          <w:rFonts w:ascii="Arial" w:hAnsi="Arial" w:cs="Arial"/>
          <w:sz w:val="22"/>
          <w:lang w:val="en-GB"/>
        </w:rPr>
      </w:pPr>
      <w:r w:rsidRPr="00C542CC">
        <w:rPr>
          <w:rFonts w:ascii="Arial" w:eastAsiaTheme="minorHAnsi" w:hAnsi="Arial" w:cs="Arial"/>
          <w:sz w:val="22"/>
          <w:szCs w:val="22"/>
          <w:lang w:val="en-US"/>
        </w:rPr>
        <w:t xml:space="preserve">All Concept Notes seeking access to the </w:t>
      </w:r>
      <w:r>
        <w:rPr>
          <w:rFonts w:ascii="Arial" w:eastAsiaTheme="minorHAnsi" w:hAnsi="Arial" w:cs="Arial"/>
          <w:sz w:val="22"/>
          <w:szCs w:val="22"/>
          <w:lang w:val="en-US"/>
        </w:rPr>
        <w:t>SRS</w:t>
      </w:r>
      <w:r w:rsidR="008019A7">
        <w:rPr>
          <w:rFonts w:ascii="Arial" w:eastAsiaTheme="minorHAnsi" w:hAnsi="Arial" w:cs="Arial"/>
          <w:sz w:val="22"/>
          <w:szCs w:val="22"/>
          <w:lang w:val="en-US"/>
        </w:rPr>
        <w:t>G</w:t>
      </w:r>
      <w:r>
        <w:rPr>
          <w:rFonts w:ascii="Arial" w:eastAsiaTheme="minorHAnsi" w:hAnsi="Arial" w:cs="Arial"/>
          <w:sz w:val="22"/>
          <w:szCs w:val="22"/>
          <w:lang w:val="en-US"/>
        </w:rPr>
        <w:t>G</w:t>
      </w:r>
      <w:r w:rsidRPr="00C542CC">
        <w:rPr>
          <w:rFonts w:ascii="Arial" w:eastAsiaTheme="minorHAnsi" w:hAnsi="Arial" w:cs="Arial"/>
          <w:sz w:val="22"/>
          <w:szCs w:val="22"/>
          <w:lang w:val="en-US"/>
        </w:rPr>
        <w:t xml:space="preserve"> </w:t>
      </w:r>
      <w:r>
        <w:rPr>
          <w:rFonts w:ascii="Arial" w:eastAsiaTheme="minorHAnsi" w:hAnsi="Arial" w:cs="Arial"/>
          <w:sz w:val="22"/>
          <w:szCs w:val="22"/>
          <w:lang w:val="en-US"/>
        </w:rPr>
        <w:t>Sub-Fund</w:t>
      </w:r>
      <w:r w:rsidRPr="00C542CC">
        <w:rPr>
          <w:rFonts w:ascii="Arial" w:eastAsiaTheme="minorHAnsi" w:hAnsi="Arial" w:cs="Arial"/>
          <w:sz w:val="22"/>
          <w:szCs w:val="22"/>
          <w:lang w:val="en-US"/>
        </w:rPr>
        <w:t xml:space="preserve"> </w:t>
      </w:r>
      <w:r>
        <w:rPr>
          <w:rFonts w:ascii="Arial" w:eastAsiaTheme="minorHAnsi" w:hAnsi="Arial" w:cs="Arial"/>
          <w:sz w:val="22"/>
          <w:szCs w:val="22"/>
          <w:lang w:val="en-US"/>
        </w:rPr>
        <w:t>need to</w:t>
      </w:r>
      <w:r w:rsidRPr="00C542CC">
        <w:rPr>
          <w:rFonts w:ascii="Arial" w:eastAsiaTheme="minorHAnsi" w:hAnsi="Arial" w:cs="Arial"/>
          <w:sz w:val="22"/>
          <w:szCs w:val="22"/>
          <w:lang w:val="en-US"/>
        </w:rPr>
        <w:t xml:space="preserve"> be endorsed by the proposing forum and have a minimum of </w:t>
      </w:r>
      <w:r>
        <w:rPr>
          <w:rFonts w:ascii="Arial" w:eastAsiaTheme="minorHAnsi" w:hAnsi="Arial" w:cs="Arial"/>
          <w:bCs/>
          <w:sz w:val="22"/>
          <w:szCs w:val="22"/>
          <w:lang w:val="en-US"/>
        </w:rPr>
        <w:t>two</w:t>
      </w:r>
      <w:r w:rsidRPr="00C542CC">
        <w:rPr>
          <w:rFonts w:ascii="Arial" w:eastAsiaTheme="minorHAnsi" w:hAnsi="Arial" w:cs="Arial"/>
          <w:sz w:val="22"/>
          <w:szCs w:val="22"/>
          <w:lang w:val="en-US"/>
        </w:rPr>
        <w:t xml:space="preserve"> co-sponsors.</w:t>
      </w:r>
      <w:r>
        <w:rPr>
          <w:rFonts w:ascii="Arial" w:eastAsiaTheme="minorHAnsi" w:hAnsi="Arial" w:cs="Arial"/>
          <w:sz w:val="22"/>
          <w:szCs w:val="22"/>
          <w:lang w:val="en-US"/>
        </w:rPr>
        <w:t xml:space="preserve"> </w:t>
      </w:r>
      <w:r w:rsidRPr="00741592">
        <w:rPr>
          <w:rFonts w:ascii="Arial" w:hAnsi="Arial" w:cs="Arial"/>
          <w:sz w:val="22"/>
          <w:lang w:val="en-GB"/>
        </w:rPr>
        <w:t xml:space="preserve">Following the Final Submission </w:t>
      </w:r>
      <w:r w:rsidRPr="00741592">
        <w:rPr>
          <w:rFonts w:ascii="Arial" w:hAnsi="Arial" w:cs="Arial"/>
          <w:sz w:val="22"/>
          <w:lang w:val="en-GB"/>
        </w:rPr>
        <w:lastRenderedPageBreak/>
        <w:t xml:space="preserve">Deadline </w:t>
      </w:r>
      <w:r w:rsidRPr="00741592">
        <w:rPr>
          <w:rFonts w:ascii="Arial" w:hAnsi="Arial" w:cs="Arial"/>
          <w:sz w:val="22"/>
          <w:lang w:val="en-US"/>
        </w:rPr>
        <w:t>that applies to the Project Session in question</w:t>
      </w:r>
      <w:r w:rsidRPr="00741592">
        <w:rPr>
          <w:rFonts w:ascii="Arial" w:hAnsi="Arial" w:cs="Arial"/>
          <w:sz w:val="22"/>
          <w:lang w:val="en-GB"/>
        </w:rPr>
        <w:t xml:space="preserve">, an </w:t>
      </w:r>
      <w:r>
        <w:rPr>
          <w:rFonts w:ascii="Arial" w:hAnsi="Arial" w:cs="Arial"/>
          <w:sz w:val="22"/>
          <w:lang w:val="en-GB"/>
        </w:rPr>
        <w:t>SRS</w:t>
      </w:r>
      <w:r w:rsidR="008019A7">
        <w:rPr>
          <w:rFonts w:ascii="Arial" w:hAnsi="Arial" w:cs="Arial"/>
          <w:sz w:val="22"/>
          <w:lang w:val="en-GB"/>
        </w:rPr>
        <w:t>G</w:t>
      </w:r>
      <w:r>
        <w:rPr>
          <w:rFonts w:ascii="Arial" w:hAnsi="Arial" w:cs="Arial"/>
          <w:sz w:val="22"/>
          <w:lang w:val="en-GB"/>
        </w:rPr>
        <w:t>G</w:t>
      </w:r>
      <w:r w:rsidRPr="00741592">
        <w:rPr>
          <w:rFonts w:ascii="Arial" w:hAnsi="Arial" w:cs="Arial"/>
          <w:sz w:val="22"/>
          <w:lang w:val="en-GB"/>
        </w:rPr>
        <w:t xml:space="preserve"> Sub-fund Assessment Group will first undertake an assessment of each CN seeking funding from the </w:t>
      </w:r>
      <w:r>
        <w:rPr>
          <w:rFonts w:ascii="Arial" w:hAnsi="Arial" w:cs="Arial"/>
          <w:sz w:val="22"/>
          <w:lang w:val="en-GB"/>
        </w:rPr>
        <w:t>SRSG</w:t>
      </w:r>
      <w:r w:rsidR="008019A7">
        <w:rPr>
          <w:rFonts w:ascii="Arial" w:hAnsi="Arial" w:cs="Arial"/>
          <w:sz w:val="22"/>
          <w:lang w:val="en-GB"/>
        </w:rPr>
        <w:t>G</w:t>
      </w:r>
      <w:r w:rsidRPr="00741592">
        <w:rPr>
          <w:rFonts w:ascii="Arial" w:hAnsi="Arial" w:cs="Arial"/>
          <w:sz w:val="22"/>
          <w:lang w:val="en-GB"/>
        </w:rPr>
        <w:t xml:space="preserve"> Sub-fund, for the purposes of determining eligibility. </w:t>
      </w:r>
    </w:p>
    <w:p w14:paraId="4EB15775" w14:textId="77777777" w:rsidR="006D2D4C" w:rsidRPr="00741592" w:rsidRDefault="006D2D4C" w:rsidP="006D2D4C">
      <w:pPr>
        <w:shd w:val="clear" w:color="auto" w:fill="FFFFFF"/>
        <w:rPr>
          <w:rFonts w:ascii="Arial" w:hAnsi="Arial" w:cs="Arial"/>
          <w:sz w:val="22"/>
          <w:lang w:val="en-GB"/>
        </w:rPr>
      </w:pPr>
    </w:p>
    <w:p w14:paraId="0474F45B" w14:textId="77777777" w:rsidR="006D2D4C" w:rsidRPr="00741592" w:rsidRDefault="006D2D4C" w:rsidP="006D2D4C">
      <w:pPr>
        <w:shd w:val="clear" w:color="auto" w:fill="FFFFFF"/>
        <w:rPr>
          <w:rFonts w:ascii="Arial" w:hAnsi="Arial" w:cs="Arial"/>
          <w:sz w:val="22"/>
          <w:lang w:val="en-GB"/>
        </w:rPr>
      </w:pPr>
      <w:r w:rsidRPr="00741592">
        <w:rPr>
          <w:rFonts w:ascii="Arial" w:hAnsi="Arial" w:cs="Arial"/>
          <w:sz w:val="22"/>
          <w:lang w:val="en-GB"/>
        </w:rPr>
        <w:t xml:space="preserve">The Assessment Group will consist of: </w:t>
      </w:r>
    </w:p>
    <w:p w14:paraId="15CEFA2A" w14:textId="77777777" w:rsidR="006D2D4C" w:rsidRPr="00741592" w:rsidRDefault="006D2D4C" w:rsidP="006D2D4C">
      <w:pPr>
        <w:pStyle w:val="ListParagraph"/>
        <w:numPr>
          <w:ilvl w:val="0"/>
          <w:numId w:val="10"/>
        </w:numPr>
        <w:tabs>
          <w:tab w:val="clear" w:pos="567"/>
        </w:tabs>
        <w:spacing w:line="240" w:lineRule="auto"/>
        <w:ind w:left="993" w:hanging="426"/>
        <w:contextualSpacing w:val="0"/>
        <w:rPr>
          <w:rFonts w:ascii="Arial" w:hAnsi="Arial" w:cs="Arial"/>
          <w:sz w:val="22"/>
          <w:lang w:val="en-SG"/>
        </w:rPr>
      </w:pPr>
      <w:r w:rsidRPr="00741592">
        <w:rPr>
          <w:rFonts w:ascii="Arial" w:hAnsi="Arial" w:cs="Arial"/>
          <w:sz w:val="22"/>
          <w:lang w:val="en-SG"/>
        </w:rPr>
        <w:t xml:space="preserve">The Economic Committee (EC) Chair </w:t>
      </w:r>
    </w:p>
    <w:p w14:paraId="405FCC17" w14:textId="77777777" w:rsidR="006D2D4C" w:rsidRPr="00741592" w:rsidRDefault="006D2D4C" w:rsidP="006D2D4C">
      <w:pPr>
        <w:pStyle w:val="ListParagraph"/>
        <w:numPr>
          <w:ilvl w:val="0"/>
          <w:numId w:val="10"/>
        </w:numPr>
        <w:tabs>
          <w:tab w:val="clear" w:pos="567"/>
        </w:tabs>
        <w:spacing w:line="240" w:lineRule="auto"/>
        <w:ind w:left="993" w:hanging="426"/>
        <w:contextualSpacing w:val="0"/>
        <w:rPr>
          <w:rFonts w:ascii="Arial" w:hAnsi="Arial" w:cs="Arial"/>
          <w:sz w:val="22"/>
          <w:lang w:val="en-SG"/>
        </w:rPr>
      </w:pPr>
      <w:r w:rsidRPr="00741592">
        <w:rPr>
          <w:rFonts w:ascii="Arial" w:hAnsi="Arial" w:cs="Arial"/>
          <w:sz w:val="22"/>
          <w:lang w:val="en-SG"/>
        </w:rPr>
        <w:t>The EC Program Director, APEC Secretariat</w:t>
      </w:r>
    </w:p>
    <w:p w14:paraId="362555FD" w14:textId="77777777" w:rsidR="006D2D4C" w:rsidRPr="00741592" w:rsidRDefault="006D2D4C" w:rsidP="006D2D4C">
      <w:pPr>
        <w:pStyle w:val="ListParagraph"/>
        <w:numPr>
          <w:ilvl w:val="0"/>
          <w:numId w:val="10"/>
        </w:numPr>
        <w:tabs>
          <w:tab w:val="clear" w:pos="567"/>
        </w:tabs>
        <w:spacing w:line="240" w:lineRule="auto"/>
        <w:ind w:left="993" w:hanging="426"/>
        <w:contextualSpacing w:val="0"/>
        <w:rPr>
          <w:rFonts w:ascii="Arial" w:hAnsi="Arial" w:cs="Arial"/>
          <w:sz w:val="22"/>
          <w:lang w:val="en-SG"/>
        </w:rPr>
      </w:pPr>
      <w:r w:rsidRPr="00741592">
        <w:rPr>
          <w:rFonts w:ascii="Arial" w:hAnsi="Arial" w:cs="Arial"/>
          <w:sz w:val="22"/>
          <w:lang w:val="en-SG"/>
        </w:rPr>
        <w:t xml:space="preserve">Economies which have contributed to the </w:t>
      </w:r>
      <w:r w:rsidR="0030000E">
        <w:rPr>
          <w:rFonts w:ascii="Arial" w:hAnsi="Arial" w:cs="Arial"/>
          <w:sz w:val="22"/>
          <w:lang w:val="en-SG"/>
        </w:rPr>
        <w:t xml:space="preserve">SRSGG </w:t>
      </w:r>
      <w:r w:rsidRPr="00741592">
        <w:rPr>
          <w:rFonts w:ascii="Arial" w:hAnsi="Arial" w:cs="Arial"/>
          <w:sz w:val="22"/>
          <w:lang w:val="en-SG"/>
        </w:rPr>
        <w:t xml:space="preserve">Sub-fund </w:t>
      </w:r>
    </w:p>
    <w:p w14:paraId="51609743" w14:textId="77777777" w:rsidR="006D2D4C" w:rsidRPr="00741592" w:rsidRDefault="006D2D4C" w:rsidP="006D2D4C">
      <w:pPr>
        <w:pStyle w:val="ListParagraph"/>
        <w:numPr>
          <w:ilvl w:val="0"/>
          <w:numId w:val="10"/>
        </w:numPr>
        <w:tabs>
          <w:tab w:val="clear" w:pos="567"/>
        </w:tabs>
        <w:spacing w:line="240" w:lineRule="auto"/>
        <w:ind w:left="993" w:hanging="426"/>
        <w:contextualSpacing w:val="0"/>
        <w:rPr>
          <w:rFonts w:ascii="Arial" w:hAnsi="Arial" w:cs="Arial"/>
          <w:sz w:val="22"/>
          <w:lang w:val="en-SG"/>
        </w:rPr>
      </w:pPr>
      <w:r w:rsidRPr="00741592">
        <w:rPr>
          <w:rFonts w:ascii="Arial" w:hAnsi="Arial" w:cs="Arial"/>
          <w:sz w:val="22"/>
          <w:lang w:val="en-SG"/>
        </w:rPr>
        <w:t xml:space="preserve">The Host economy, where the Host economy is a developing economy. </w:t>
      </w:r>
      <w:r w:rsidRPr="00741592">
        <w:rPr>
          <w:rFonts w:ascii="Arial" w:hAnsi="Arial" w:cs="Arial"/>
          <w:sz w:val="22"/>
          <w:lang w:val="en-SG"/>
        </w:rPr>
        <w:br/>
        <w:t xml:space="preserve">(Where the Host is a developed economy, the EC shall decide on which developing economy should occupy this role.) </w:t>
      </w:r>
    </w:p>
    <w:p w14:paraId="0197C2B4" w14:textId="77777777" w:rsidR="006D2D4C" w:rsidRPr="00741592" w:rsidRDefault="006D2D4C" w:rsidP="006D2D4C">
      <w:pPr>
        <w:rPr>
          <w:rFonts w:ascii="Arial" w:hAnsi="Arial" w:cs="Arial"/>
          <w:sz w:val="22"/>
          <w:lang w:val="en-SG"/>
        </w:rPr>
      </w:pPr>
    </w:p>
    <w:p w14:paraId="3615334E" w14:textId="77777777" w:rsidR="006D2D4C" w:rsidRPr="00741592" w:rsidRDefault="006D2D4C" w:rsidP="00DE3944">
      <w:pPr>
        <w:spacing w:line="240" w:lineRule="auto"/>
        <w:jc w:val="both"/>
        <w:rPr>
          <w:rFonts w:ascii="Arial" w:hAnsi="Arial" w:cs="Arial"/>
          <w:sz w:val="22"/>
          <w:lang w:val="en-SG"/>
        </w:rPr>
      </w:pPr>
      <w:r w:rsidRPr="00741592">
        <w:rPr>
          <w:rFonts w:ascii="Arial" w:hAnsi="Arial" w:cs="Arial"/>
          <w:sz w:val="22"/>
          <w:lang w:val="en-SG"/>
        </w:rPr>
        <w:t xml:space="preserve">The Assessment Group will refer to APEC’s Project Quality Criteria of </w:t>
      </w:r>
      <w:r w:rsidRPr="00741592">
        <w:rPr>
          <w:rFonts w:ascii="Arial" w:hAnsi="Arial" w:cs="Arial"/>
          <w:i/>
          <w:sz w:val="22"/>
          <w:lang w:val="en-SG"/>
        </w:rPr>
        <w:t>relevance, impact, effectiveness, sustainability</w:t>
      </w:r>
      <w:r w:rsidRPr="00741592">
        <w:rPr>
          <w:rFonts w:ascii="Arial" w:hAnsi="Arial" w:cs="Arial"/>
          <w:sz w:val="22"/>
          <w:lang w:val="en-SG"/>
        </w:rPr>
        <w:t xml:space="preserve">, and </w:t>
      </w:r>
      <w:r w:rsidRPr="00741592">
        <w:rPr>
          <w:rFonts w:ascii="Arial" w:hAnsi="Arial" w:cs="Arial"/>
          <w:i/>
          <w:sz w:val="22"/>
          <w:lang w:val="en-SG"/>
        </w:rPr>
        <w:t>efficiency</w:t>
      </w:r>
      <w:r w:rsidRPr="00741592">
        <w:rPr>
          <w:rFonts w:ascii="Arial" w:hAnsi="Arial" w:cs="Arial"/>
          <w:sz w:val="22"/>
          <w:lang w:val="en-SG"/>
        </w:rPr>
        <w:t xml:space="preserve"> when assessing submitted CNs. The Assessment Group will operate in a transparent and fair manner, with any EC member entitled to observe proceedings. </w:t>
      </w:r>
    </w:p>
    <w:p w14:paraId="665E0EDA" w14:textId="77777777" w:rsidR="006D2D4C" w:rsidRPr="00741592" w:rsidRDefault="006D2D4C" w:rsidP="006D2D4C">
      <w:pPr>
        <w:jc w:val="both"/>
        <w:rPr>
          <w:rFonts w:ascii="Arial" w:hAnsi="Arial" w:cs="Arial"/>
          <w:sz w:val="22"/>
          <w:lang w:val="en-SG"/>
        </w:rPr>
      </w:pPr>
    </w:p>
    <w:p w14:paraId="416CAC7E" w14:textId="77777777" w:rsidR="006D2D4C" w:rsidRDefault="006D2D4C" w:rsidP="0030000E">
      <w:pPr>
        <w:spacing w:line="240" w:lineRule="auto"/>
        <w:jc w:val="both"/>
        <w:rPr>
          <w:rFonts w:ascii="Arial" w:hAnsi="Arial" w:cs="Arial"/>
          <w:sz w:val="22"/>
          <w:lang w:val="en-SG"/>
        </w:rPr>
      </w:pPr>
      <w:r w:rsidRPr="00741592">
        <w:rPr>
          <w:rFonts w:ascii="Arial" w:hAnsi="Arial" w:cs="Arial"/>
          <w:sz w:val="22"/>
          <w:lang w:val="en-SG"/>
        </w:rPr>
        <w:t xml:space="preserve">The EC will have full decision-making authority in relation to the endorsement of CNs proposed within the EC. Eligible CNs that have been endorsed by the EC, or another proposing fora, will be scored by the EC, in its role as the forum responsible for scoring all CNs found to be eligible to access the </w:t>
      </w:r>
      <w:r>
        <w:rPr>
          <w:rFonts w:ascii="Arial" w:hAnsi="Arial" w:cs="Arial"/>
          <w:sz w:val="22"/>
          <w:lang w:val="en-SG"/>
        </w:rPr>
        <w:t>SRSG</w:t>
      </w:r>
      <w:r w:rsidR="008019A7">
        <w:rPr>
          <w:rFonts w:ascii="Arial" w:hAnsi="Arial" w:cs="Arial"/>
          <w:sz w:val="22"/>
          <w:lang w:val="en-SG"/>
        </w:rPr>
        <w:t>G</w:t>
      </w:r>
      <w:r w:rsidRPr="00741592">
        <w:rPr>
          <w:rFonts w:ascii="Arial" w:hAnsi="Arial" w:cs="Arial"/>
          <w:sz w:val="22"/>
          <w:lang w:val="en-SG"/>
        </w:rPr>
        <w:t xml:space="preserve"> Sub-fund. For those CNs that are assessed as eligible, and subsequently recommended by the Secretariat to BMC for in-principle approval, the Assessment Group may provide feedback on a CN to the Project Overseer (PO) to be taken into account during the development of the Project Proposal.  </w:t>
      </w:r>
    </w:p>
    <w:p w14:paraId="01223BD0" w14:textId="77777777" w:rsidR="0030000E" w:rsidRPr="0030000E" w:rsidRDefault="0030000E" w:rsidP="0030000E">
      <w:pPr>
        <w:spacing w:line="240" w:lineRule="auto"/>
        <w:jc w:val="both"/>
        <w:rPr>
          <w:rFonts w:ascii="Arial" w:hAnsi="Arial" w:cs="Arial"/>
          <w:sz w:val="22"/>
          <w:lang w:val="en-SG"/>
        </w:rPr>
      </w:pPr>
    </w:p>
    <w:p w14:paraId="195D4C78" w14:textId="77777777" w:rsidR="006D2D4C" w:rsidRPr="00C542CC" w:rsidRDefault="006D2D4C" w:rsidP="006D2D4C">
      <w:pPr>
        <w:tabs>
          <w:tab w:val="clear" w:pos="567"/>
        </w:tabs>
        <w:spacing w:after="160" w:line="256" w:lineRule="auto"/>
        <w:jc w:val="both"/>
        <w:rPr>
          <w:rFonts w:ascii="Arial" w:hAnsi="Arial" w:cs="Arial"/>
          <w:sz w:val="22"/>
          <w:szCs w:val="22"/>
          <w:lang w:val="en-SG"/>
        </w:rPr>
      </w:pPr>
      <w:r w:rsidRPr="00C542CC">
        <w:rPr>
          <w:rFonts w:ascii="Arial" w:hAnsi="Arial" w:cs="Arial"/>
          <w:sz w:val="22"/>
          <w:szCs w:val="22"/>
          <w:lang w:val="en-SG"/>
        </w:rPr>
        <w:t>The EC will score all eligible Concept Notes that have been endorsed by the EC, or another proposing fora, using the APEC Scoring Template.  The succeeding steps will follow the established process set out in the Guidebook on APEC Projects.</w:t>
      </w:r>
    </w:p>
    <w:p w14:paraId="2B4B4A06" w14:textId="77777777" w:rsidR="006D2D4C" w:rsidRPr="00C542CC" w:rsidRDefault="006D2D4C" w:rsidP="006D2D4C">
      <w:pPr>
        <w:tabs>
          <w:tab w:val="clear" w:pos="567"/>
        </w:tabs>
        <w:spacing w:line="256" w:lineRule="auto"/>
        <w:rPr>
          <w:rFonts w:ascii="Arial" w:hAnsi="Arial" w:cs="Arial"/>
          <w:sz w:val="22"/>
          <w:szCs w:val="22"/>
          <w:lang w:val="en-SG"/>
        </w:rPr>
      </w:pPr>
    </w:p>
    <w:p w14:paraId="02639087" w14:textId="77777777" w:rsidR="006D2D4C" w:rsidRPr="00C542CC" w:rsidRDefault="006D2D4C" w:rsidP="006D2D4C">
      <w:pPr>
        <w:keepNext/>
        <w:shd w:val="clear" w:color="auto" w:fill="FFFFFF"/>
        <w:tabs>
          <w:tab w:val="clear" w:pos="567"/>
        </w:tabs>
        <w:spacing w:after="120" w:line="256" w:lineRule="auto"/>
        <w:rPr>
          <w:rFonts w:ascii="Arial" w:eastAsiaTheme="minorHAnsi" w:hAnsi="Arial" w:cs="Arial"/>
          <w:b/>
          <w:color w:val="000000"/>
          <w:sz w:val="22"/>
          <w:szCs w:val="22"/>
          <w:u w:val="single"/>
          <w:lang w:val="en-AU"/>
        </w:rPr>
      </w:pPr>
      <w:r w:rsidRPr="00C542CC">
        <w:rPr>
          <w:rFonts w:ascii="Arial" w:eastAsiaTheme="minorHAnsi" w:hAnsi="Arial" w:cs="Arial"/>
          <w:b/>
          <w:color w:val="000000"/>
          <w:sz w:val="22"/>
          <w:szCs w:val="22"/>
          <w:u w:val="single"/>
          <w:lang w:val="en-US"/>
        </w:rPr>
        <w:t>Priority projects</w:t>
      </w:r>
    </w:p>
    <w:p w14:paraId="40AC39B0" w14:textId="77777777" w:rsidR="006D2D4C" w:rsidRDefault="006D2D4C" w:rsidP="00DE3944">
      <w:pPr>
        <w:shd w:val="clear" w:color="auto" w:fill="FFFFFF"/>
        <w:tabs>
          <w:tab w:val="clear" w:pos="567"/>
        </w:tabs>
        <w:spacing w:after="160" w:line="240" w:lineRule="auto"/>
        <w:jc w:val="both"/>
        <w:rPr>
          <w:rFonts w:ascii="Arial" w:eastAsiaTheme="minorHAnsi" w:hAnsi="Arial" w:cs="Arial"/>
          <w:color w:val="000000"/>
          <w:sz w:val="22"/>
          <w:szCs w:val="22"/>
          <w:lang w:val="en-US"/>
        </w:rPr>
      </w:pPr>
      <w:r w:rsidRPr="00333FF1">
        <w:rPr>
          <w:rFonts w:ascii="Arial" w:hAnsi="Arial" w:cs="Arial"/>
          <w:sz w:val="22"/>
          <w:lang w:val="en-US"/>
        </w:rPr>
        <w:t xml:space="preserve">Priority will be given to projects that benefit APEC economies that </w:t>
      </w:r>
      <w:r w:rsidRPr="006D2D4C">
        <w:rPr>
          <w:rFonts w:ascii="Arial" w:hAnsi="Arial" w:cs="Arial"/>
          <w:sz w:val="22"/>
          <w:lang w:val="en-US"/>
        </w:rPr>
        <w:t>are considered as travel-eligible in line with the Guidebook on APEC Projects with an implementation period of at least 12 months</w:t>
      </w:r>
      <w:r w:rsidRPr="00333FF1">
        <w:rPr>
          <w:rFonts w:ascii="Arial" w:hAnsi="Arial" w:cs="Arial"/>
          <w:sz w:val="22"/>
          <w:lang w:val="en-US"/>
        </w:rPr>
        <w:t xml:space="preserve">. </w:t>
      </w:r>
      <w:r w:rsidRPr="00333FF1">
        <w:rPr>
          <w:rFonts w:ascii="Arial" w:eastAsiaTheme="minorEastAsia" w:hAnsi="Arial" w:cs="Arial"/>
          <w:sz w:val="22"/>
          <w:szCs w:val="22"/>
          <w:lang w:val="en-US"/>
        </w:rPr>
        <w:t xml:space="preserve">This does not preclude </w:t>
      </w:r>
      <w:r>
        <w:rPr>
          <w:rFonts w:ascii="Arial" w:eastAsiaTheme="minorEastAsia" w:hAnsi="Arial" w:cs="Arial"/>
          <w:sz w:val="22"/>
          <w:szCs w:val="22"/>
          <w:lang w:val="en-US"/>
        </w:rPr>
        <w:t xml:space="preserve">other </w:t>
      </w:r>
      <w:r w:rsidRPr="00333FF1">
        <w:rPr>
          <w:rFonts w:ascii="Arial" w:eastAsiaTheme="minorEastAsia" w:hAnsi="Arial" w:cs="Arial"/>
          <w:sz w:val="22"/>
          <w:szCs w:val="22"/>
          <w:lang w:val="en-US"/>
        </w:rPr>
        <w:t xml:space="preserve">economies from applying for and receiving funding, or projects of a shorter timeframe from being proposed if they are in line with the purpose of the sub-fund and otherwise meet these Eligibility Criteria. </w:t>
      </w:r>
      <w:r w:rsidRPr="00333FF1">
        <w:rPr>
          <w:rFonts w:ascii="Arial" w:eastAsiaTheme="minorHAnsi" w:hAnsi="Arial" w:cs="Arial"/>
          <w:sz w:val="22"/>
          <w:szCs w:val="22"/>
          <w:lang w:val="en-US"/>
        </w:rPr>
        <w:t xml:space="preserve"> </w:t>
      </w:r>
      <w:r>
        <w:rPr>
          <w:rFonts w:ascii="Arial" w:eastAsiaTheme="minorHAnsi" w:hAnsi="Arial" w:cs="Arial"/>
          <w:sz w:val="22"/>
          <w:szCs w:val="22"/>
          <w:lang w:val="en-US"/>
        </w:rPr>
        <w:t>SRSG</w:t>
      </w:r>
      <w:r w:rsidR="008019A7">
        <w:rPr>
          <w:rFonts w:ascii="Arial" w:eastAsiaTheme="minorHAnsi" w:hAnsi="Arial" w:cs="Arial"/>
          <w:sz w:val="22"/>
          <w:szCs w:val="22"/>
          <w:lang w:val="en-US"/>
        </w:rPr>
        <w:t>G</w:t>
      </w:r>
      <w:r w:rsidRPr="00D46543">
        <w:rPr>
          <w:rFonts w:ascii="Arial" w:eastAsiaTheme="minorHAnsi" w:hAnsi="Arial" w:cs="Arial"/>
          <w:sz w:val="22"/>
          <w:szCs w:val="22"/>
          <w:lang w:val="en-US"/>
        </w:rPr>
        <w:t xml:space="preserve"> </w:t>
      </w:r>
      <w:r>
        <w:rPr>
          <w:rFonts w:ascii="Arial" w:eastAsiaTheme="minorHAnsi" w:hAnsi="Arial" w:cs="Arial"/>
          <w:sz w:val="22"/>
          <w:szCs w:val="22"/>
          <w:lang w:val="en-US"/>
        </w:rPr>
        <w:t>Sub-Fund</w:t>
      </w:r>
      <w:r w:rsidRPr="00D46543">
        <w:rPr>
          <w:rFonts w:ascii="Arial" w:eastAsiaTheme="minorHAnsi" w:hAnsi="Arial" w:cs="Arial"/>
          <w:sz w:val="22"/>
          <w:szCs w:val="22"/>
          <w:lang w:val="en-US"/>
        </w:rPr>
        <w:t xml:space="preserve"> projects need to </w:t>
      </w:r>
      <w:r w:rsidRPr="00D46543">
        <w:rPr>
          <w:rFonts w:ascii="Arial" w:eastAsiaTheme="minorHAnsi" w:hAnsi="Arial" w:cs="Arial"/>
          <w:color w:val="000000"/>
          <w:sz w:val="22"/>
          <w:szCs w:val="22"/>
          <w:lang w:val="en-US"/>
        </w:rPr>
        <w:t xml:space="preserve">support the development and implementation of structural reforms for </w:t>
      </w:r>
      <w:r>
        <w:rPr>
          <w:rFonts w:ascii="Arial" w:eastAsiaTheme="minorHAnsi" w:hAnsi="Arial" w:cs="Arial"/>
          <w:color w:val="000000"/>
          <w:sz w:val="22"/>
          <w:szCs w:val="22"/>
          <w:lang w:val="en-US"/>
        </w:rPr>
        <w:t>sustainable</w:t>
      </w:r>
      <w:r w:rsidR="008019A7">
        <w:rPr>
          <w:rFonts w:ascii="Arial" w:eastAsiaTheme="minorHAnsi" w:hAnsi="Arial" w:cs="Arial"/>
          <w:color w:val="000000"/>
          <w:sz w:val="22"/>
          <w:szCs w:val="22"/>
          <w:lang w:val="en-US"/>
        </w:rPr>
        <w:t xml:space="preserve"> green</w:t>
      </w:r>
      <w:r w:rsidRPr="00D46543">
        <w:rPr>
          <w:rFonts w:ascii="Arial" w:eastAsiaTheme="minorHAnsi" w:hAnsi="Arial" w:cs="Arial"/>
          <w:color w:val="000000"/>
          <w:sz w:val="22"/>
          <w:szCs w:val="22"/>
          <w:lang w:val="en-US"/>
        </w:rPr>
        <w:t xml:space="preserve"> growth</w:t>
      </w:r>
      <w:r w:rsidRPr="00D46543">
        <w:rPr>
          <w:rFonts w:ascii="Arial" w:eastAsiaTheme="minorHAnsi" w:hAnsi="Arial" w:cs="Arial"/>
          <w:sz w:val="22"/>
          <w:szCs w:val="22"/>
          <w:lang w:val="en-US"/>
        </w:rPr>
        <w:t xml:space="preserve"> and have clear capacity-building objectives</w:t>
      </w:r>
      <w:r>
        <w:rPr>
          <w:rFonts w:ascii="Arial" w:eastAsiaTheme="minorHAnsi" w:hAnsi="Arial" w:cs="Arial"/>
          <w:sz w:val="22"/>
          <w:szCs w:val="22"/>
          <w:lang w:val="en-US"/>
        </w:rPr>
        <w:t xml:space="preserve"> for member economies</w:t>
      </w:r>
      <w:r w:rsidRPr="00D46543">
        <w:rPr>
          <w:rFonts w:ascii="Arial" w:eastAsiaTheme="minorHAnsi" w:hAnsi="Arial" w:cs="Arial"/>
          <w:sz w:val="22"/>
          <w:szCs w:val="22"/>
          <w:lang w:val="en-US"/>
        </w:rPr>
        <w:t>.</w:t>
      </w:r>
      <w:r w:rsidRPr="00C542CC">
        <w:rPr>
          <w:rFonts w:ascii="Arial" w:eastAsiaTheme="minorHAnsi" w:hAnsi="Arial" w:cs="Arial"/>
          <w:sz w:val="22"/>
          <w:szCs w:val="22"/>
          <w:lang w:val="en-US"/>
        </w:rPr>
        <w:t xml:space="preserve"> </w:t>
      </w:r>
      <w:r>
        <w:rPr>
          <w:rFonts w:ascii="Arial" w:eastAsiaTheme="minorHAnsi" w:hAnsi="Arial" w:cs="Arial"/>
          <w:sz w:val="22"/>
          <w:szCs w:val="22"/>
          <w:lang w:val="en-US"/>
        </w:rPr>
        <w:t xml:space="preserve">Similarly, </w:t>
      </w:r>
      <w:r>
        <w:rPr>
          <w:rFonts w:ascii="Arial" w:eastAsiaTheme="minorHAnsi" w:hAnsi="Arial" w:cs="Arial"/>
          <w:color w:val="000000"/>
          <w:sz w:val="22"/>
          <w:szCs w:val="22"/>
          <w:lang w:val="en-US"/>
        </w:rPr>
        <w:t>p</w:t>
      </w:r>
      <w:r w:rsidRPr="00C542CC">
        <w:rPr>
          <w:rFonts w:ascii="Arial" w:eastAsiaTheme="minorHAnsi" w:hAnsi="Arial" w:cs="Arial"/>
          <w:color w:val="000000"/>
          <w:sz w:val="22"/>
          <w:szCs w:val="22"/>
          <w:lang w:val="en-US"/>
        </w:rPr>
        <w:t>roposed projects may primarily benefit a single economy</w:t>
      </w:r>
      <w:r>
        <w:rPr>
          <w:rFonts w:ascii="Arial" w:eastAsiaTheme="minorHAnsi" w:hAnsi="Arial" w:cs="Arial"/>
          <w:color w:val="000000"/>
          <w:sz w:val="22"/>
          <w:szCs w:val="22"/>
          <w:lang w:val="en-US"/>
        </w:rPr>
        <w:t>,</w:t>
      </w:r>
      <w:r w:rsidRPr="00C542CC">
        <w:rPr>
          <w:rFonts w:ascii="Arial" w:eastAsiaTheme="minorHAnsi" w:hAnsi="Arial" w:cs="Arial"/>
          <w:color w:val="000000"/>
          <w:sz w:val="22"/>
          <w:szCs w:val="22"/>
          <w:lang w:val="en-US"/>
        </w:rPr>
        <w:t xml:space="preserve"> but should have </w:t>
      </w:r>
      <w:r>
        <w:rPr>
          <w:rFonts w:ascii="Arial" w:eastAsiaTheme="minorHAnsi" w:hAnsi="Arial" w:cs="Arial"/>
          <w:color w:val="000000"/>
          <w:sz w:val="22"/>
          <w:szCs w:val="22"/>
          <w:lang w:val="en-US"/>
        </w:rPr>
        <w:t xml:space="preserve">broader </w:t>
      </w:r>
      <w:r w:rsidRPr="00C542CC">
        <w:rPr>
          <w:rFonts w:ascii="Arial" w:eastAsiaTheme="minorHAnsi" w:hAnsi="Arial" w:cs="Arial"/>
          <w:color w:val="000000"/>
          <w:sz w:val="22"/>
          <w:szCs w:val="22"/>
          <w:lang w:val="en-US"/>
        </w:rPr>
        <w:t xml:space="preserve">lessons for APEC members. </w:t>
      </w:r>
    </w:p>
    <w:p w14:paraId="2A2DDE55" w14:textId="77777777" w:rsidR="0030000E" w:rsidRPr="0030000E" w:rsidRDefault="006D2D4C" w:rsidP="0030000E">
      <w:pPr>
        <w:shd w:val="clear" w:color="auto" w:fill="FFFFFF"/>
        <w:tabs>
          <w:tab w:val="clear" w:pos="567"/>
        </w:tabs>
        <w:spacing w:after="160" w:line="256" w:lineRule="auto"/>
        <w:jc w:val="both"/>
        <w:rPr>
          <w:rFonts w:ascii="Arial" w:eastAsiaTheme="minorHAnsi" w:hAnsi="Arial" w:cs="Arial"/>
          <w:color w:val="000000"/>
          <w:sz w:val="22"/>
          <w:szCs w:val="22"/>
          <w:lang w:val="en-US"/>
        </w:rPr>
      </w:pPr>
      <w:r w:rsidRPr="00C542CC">
        <w:rPr>
          <w:rFonts w:ascii="Arial" w:eastAsiaTheme="minorHAnsi" w:hAnsi="Arial" w:cs="Arial"/>
          <w:color w:val="000000"/>
          <w:sz w:val="22"/>
          <w:szCs w:val="22"/>
          <w:lang w:val="en-US"/>
        </w:rPr>
        <w:t>Consistent with the ASF General Fund, an APEC funding limit of USD150,000 shall apply for an individual C</w:t>
      </w:r>
      <w:r>
        <w:rPr>
          <w:rFonts w:ascii="Arial" w:eastAsiaTheme="minorHAnsi" w:hAnsi="Arial" w:cs="Arial"/>
          <w:color w:val="000000"/>
          <w:sz w:val="22"/>
          <w:szCs w:val="22"/>
          <w:lang w:val="en-US"/>
        </w:rPr>
        <w:t xml:space="preserve">oncept </w:t>
      </w:r>
      <w:r w:rsidRPr="00C542CC">
        <w:rPr>
          <w:rFonts w:ascii="Arial" w:eastAsiaTheme="minorHAnsi" w:hAnsi="Arial" w:cs="Arial"/>
          <w:color w:val="000000"/>
          <w:sz w:val="22"/>
          <w:szCs w:val="22"/>
          <w:lang w:val="en-US"/>
        </w:rPr>
        <w:t>N</w:t>
      </w:r>
      <w:r>
        <w:rPr>
          <w:rFonts w:ascii="Arial" w:eastAsiaTheme="minorHAnsi" w:hAnsi="Arial" w:cs="Arial"/>
          <w:color w:val="000000"/>
          <w:sz w:val="22"/>
          <w:szCs w:val="22"/>
          <w:lang w:val="en-US"/>
        </w:rPr>
        <w:t>ote</w:t>
      </w:r>
      <w:r w:rsidRPr="00C542CC">
        <w:rPr>
          <w:rFonts w:ascii="Arial" w:eastAsiaTheme="minorHAnsi" w:hAnsi="Arial" w:cs="Arial"/>
          <w:color w:val="000000"/>
          <w:sz w:val="22"/>
          <w:szCs w:val="22"/>
          <w:lang w:val="en-US"/>
        </w:rPr>
        <w:t>.</w:t>
      </w:r>
    </w:p>
    <w:p w14:paraId="3CB73D51" w14:textId="77777777" w:rsidR="006D2D4C" w:rsidRPr="00C542CC" w:rsidRDefault="006D2D4C" w:rsidP="006D2D4C">
      <w:pPr>
        <w:shd w:val="clear" w:color="auto" w:fill="FFFFFF"/>
        <w:tabs>
          <w:tab w:val="clear" w:pos="567"/>
        </w:tabs>
        <w:spacing w:after="120" w:line="256" w:lineRule="auto"/>
        <w:rPr>
          <w:rFonts w:ascii="Arial" w:eastAsiaTheme="minorHAnsi" w:hAnsi="Arial" w:cs="Arial"/>
          <w:color w:val="000000"/>
          <w:sz w:val="22"/>
          <w:szCs w:val="22"/>
          <w:u w:val="single"/>
          <w:lang w:val="en-AU"/>
        </w:rPr>
      </w:pPr>
      <w:r w:rsidRPr="00C542CC">
        <w:rPr>
          <w:rFonts w:ascii="Arial" w:eastAsiaTheme="minorHAnsi" w:hAnsi="Arial" w:cs="Arial"/>
          <w:b/>
          <w:color w:val="000000"/>
          <w:sz w:val="22"/>
          <w:szCs w:val="22"/>
          <w:u w:val="single"/>
          <w:lang w:val="en-US"/>
        </w:rPr>
        <w:t xml:space="preserve">Administration of the </w:t>
      </w:r>
      <w:r>
        <w:rPr>
          <w:rFonts w:ascii="Arial" w:eastAsiaTheme="minorHAnsi" w:hAnsi="Arial" w:cs="Arial"/>
          <w:b/>
          <w:color w:val="000000"/>
          <w:sz w:val="22"/>
          <w:szCs w:val="22"/>
          <w:u w:val="single"/>
          <w:lang w:val="en-US"/>
        </w:rPr>
        <w:t>SRSG</w:t>
      </w:r>
      <w:r w:rsidR="008019A7">
        <w:rPr>
          <w:rFonts w:ascii="Arial" w:eastAsiaTheme="minorHAnsi" w:hAnsi="Arial" w:cs="Arial"/>
          <w:b/>
          <w:color w:val="000000"/>
          <w:sz w:val="22"/>
          <w:szCs w:val="22"/>
          <w:u w:val="single"/>
          <w:lang w:val="en-US"/>
        </w:rPr>
        <w:t>G</w:t>
      </w:r>
      <w:r w:rsidRPr="00C542CC">
        <w:rPr>
          <w:rFonts w:ascii="Arial" w:eastAsiaTheme="minorHAnsi" w:hAnsi="Arial" w:cs="Arial"/>
          <w:b/>
          <w:color w:val="000000"/>
          <w:sz w:val="22"/>
          <w:szCs w:val="22"/>
          <w:u w:val="single"/>
          <w:lang w:val="en-US"/>
        </w:rPr>
        <w:t xml:space="preserve"> </w:t>
      </w:r>
      <w:r>
        <w:rPr>
          <w:rFonts w:ascii="Arial" w:eastAsiaTheme="minorHAnsi" w:hAnsi="Arial" w:cs="Arial"/>
          <w:b/>
          <w:color w:val="000000"/>
          <w:sz w:val="22"/>
          <w:szCs w:val="22"/>
          <w:u w:val="single"/>
          <w:lang w:val="en-US"/>
        </w:rPr>
        <w:t>Sub-Fund</w:t>
      </w:r>
    </w:p>
    <w:p w14:paraId="5CB82F7B" w14:textId="77777777" w:rsidR="006D2D4C" w:rsidRPr="00C542CC" w:rsidRDefault="006D2D4C" w:rsidP="006D2D4C">
      <w:pPr>
        <w:shd w:val="clear" w:color="auto" w:fill="FFFFFF"/>
        <w:tabs>
          <w:tab w:val="clear" w:pos="567"/>
        </w:tabs>
        <w:spacing w:after="160" w:line="256" w:lineRule="auto"/>
        <w:jc w:val="both"/>
        <w:rPr>
          <w:rFonts w:ascii="Arial" w:eastAsiaTheme="minorHAnsi" w:hAnsi="Arial" w:cs="Arial"/>
          <w:color w:val="000000"/>
          <w:sz w:val="22"/>
          <w:szCs w:val="22"/>
          <w:lang w:val="en-US"/>
        </w:rPr>
      </w:pPr>
      <w:r w:rsidRPr="00C542CC">
        <w:rPr>
          <w:rFonts w:ascii="Arial" w:eastAsiaTheme="minorHAnsi" w:hAnsi="Arial" w:cs="Arial"/>
          <w:color w:val="000000"/>
          <w:sz w:val="22"/>
          <w:szCs w:val="22"/>
          <w:lang w:val="en-US"/>
        </w:rPr>
        <w:t xml:space="preserve">The APEC Secretariat will be responsible for the administration of the </w:t>
      </w:r>
      <w:r>
        <w:rPr>
          <w:rFonts w:ascii="Arial" w:eastAsiaTheme="minorHAnsi" w:hAnsi="Arial" w:cs="Arial"/>
          <w:color w:val="000000"/>
          <w:sz w:val="22"/>
          <w:szCs w:val="22"/>
          <w:lang w:val="en-US"/>
        </w:rPr>
        <w:t>SRSG</w:t>
      </w:r>
      <w:r w:rsidR="008019A7">
        <w:rPr>
          <w:rFonts w:ascii="Arial" w:eastAsiaTheme="minorHAnsi" w:hAnsi="Arial" w:cs="Arial"/>
          <w:color w:val="000000"/>
          <w:sz w:val="22"/>
          <w:szCs w:val="22"/>
          <w:lang w:val="en-US"/>
        </w:rPr>
        <w:t>G</w:t>
      </w:r>
      <w:r w:rsidRPr="00C542CC">
        <w:rPr>
          <w:rFonts w:ascii="Arial" w:eastAsiaTheme="minorHAnsi" w:hAnsi="Arial" w:cs="Arial"/>
          <w:color w:val="000000"/>
          <w:sz w:val="22"/>
          <w:szCs w:val="22"/>
          <w:lang w:val="en-US"/>
        </w:rPr>
        <w:t xml:space="preserve"> </w:t>
      </w:r>
      <w:r>
        <w:rPr>
          <w:rFonts w:ascii="Arial" w:eastAsiaTheme="minorHAnsi" w:hAnsi="Arial" w:cs="Arial"/>
          <w:color w:val="000000"/>
          <w:sz w:val="22"/>
          <w:szCs w:val="22"/>
          <w:lang w:val="en-US"/>
        </w:rPr>
        <w:t>Sub-Fund</w:t>
      </w:r>
      <w:r w:rsidRPr="00C542CC">
        <w:rPr>
          <w:rFonts w:ascii="Arial" w:eastAsiaTheme="minorHAnsi" w:hAnsi="Arial" w:cs="Arial"/>
          <w:color w:val="000000"/>
          <w:sz w:val="22"/>
          <w:szCs w:val="22"/>
          <w:lang w:val="en-US"/>
        </w:rPr>
        <w:t xml:space="preserve">.  It will be subject to the procedures governing the APEC Support Fund, as set out in the Guidebook on APEC Projects. </w:t>
      </w:r>
    </w:p>
    <w:p w14:paraId="21026078" w14:textId="77777777" w:rsidR="00803EF1" w:rsidRDefault="006D2D4C" w:rsidP="00DE3944">
      <w:pPr>
        <w:shd w:val="clear" w:color="auto" w:fill="FFFFFF"/>
        <w:tabs>
          <w:tab w:val="clear" w:pos="567"/>
        </w:tabs>
        <w:spacing w:before="240" w:after="160" w:line="256" w:lineRule="auto"/>
        <w:jc w:val="both"/>
      </w:pPr>
      <w:r w:rsidRPr="00C542CC">
        <w:rPr>
          <w:rFonts w:ascii="Arial" w:eastAsiaTheme="minorHAnsi" w:hAnsi="Arial" w:cs="Arial"/>
          <w:color w:val="000000"/>
          <w:sz w:val="22"/>
          <w:szCs w:val="22"/>
          <w:lang w:val="en-US"/>
        </w:rPr>
        <w:t xml:space="preserve">Operating within any APEC fora, economies may submit Concept Notes that meet the scope and eligibility criteria of the </w:t>
      </w:r>
      <w:r>
        <w:rPr>
          <w:rFonts w:ascii="Arial" w:eastAsiaTheme="minorHAnsi" w:hAnsi="Arial" w:cs="Arial"/>
          <w:color w:val="000000"/>
          <w:sz w:val="22"/>
          <w:szCs w:val="22"/>
          <w:lang w:val="en-US"/>
        </w:rPr>
        <w:t>SRSG</w:t>
      </w:r>
      <w:r w:rsidR="008019A7">
        <w:rPr>
          <w:rFonts w:ascii="Arial" w:eastAsiaTheme="minorHAnsi" w:hAnsi="Arial" w:cs="Arial"/>
          <w:color w:val="000000"/>
          <w:sz w:val="22"/>
          <w:szCs w:val="22"/>
          <w:lang w:val="en-US"/>
        </w:rPr>
        <w:t>G</w:t>
      </w:r>
      <w:r w:rsidRPr="00C542CC">
        <w:rPr>
          <w:rFonts w:ascii="Arial" w:eastAsiaTheme="minorHAnsi" w:hAnsi="Arial" w:cs="Arial"/>
          <w:color w:val="000000"/>
          <w:sz w:val="22"/>
          <w:szCs w:val="22"/>
          <w:lang w:val="en-US"/>
        </w:rPr>
        <w:t xml:space="preserve"> </w:t>
      </w:r>
      <w:r>
        <w:rPr>
          <w:rFonts w:ascii="Arial" w:eastAsiaTheme="minorHAnsi" w:hAnsi="Arial" w:cs="Arial"/>
          <w:color w:val="000000"/>
          <w:sz w:val="22"/>
          <w:szCs w:val="22"/>
          <w:lang w:val="en-US"/>
        </w:rPr>
        <w:t>Sub-Fund</w:t>
      </w:r>
      <w:r w:rsidRPr="00C542CC">
        <w:rPr>
          <w:rFonts w:ascii="Arial" w:eastAsiaTheme="minorHAnsi" w:hAnsi="Arial" w:cs="Arial"/>
          <w:color w:val="000000"/>
          <w:sz w:val="22"/>
          <w:szCs w:val="22"/>
          <w:lang w:val="en-US"/>
        </w:rPr>
        <w:t xml:space="preserve">. </w:t>
      </w:r>
      <w:r w:rsidRPr="00C542CC">
        <w:rPr>
          <w:rFonts w:ascii="Arial" w:eastAsiaTheme="minorHAnsi" w:hAnsi="Arial" w:cs="Arial"/>
          <w:sz w:val="22"/>
          <w:szCs w:val="22"/>
          <w:lang w:val="en-US"/>
        </w:rPr>
        <w:t xml:space="preserve">Applications from outside the </w:t>
      </w:r>
      <w:r>
        <w:rPr>
          <w:rFonts w:ascii="Arial" w:eastAsiaTheme="minorHAnsi" w:hAnsi="Arial" w:cs="Arial"/>
          <w:sz w:val="22"/>
          <w:szCs w:val="22"/>
          <w:lang w:val="en-US"/>
        </w:rPr>
        <w:t>EC</w:t>
      </w:r>
      <w:r w:rsidRPr="00C542CC">
        <w:rPr>
          <w:rFonts w:ascii="Arial" w:eastAsiaTheme="minorHAnsi" w:hAnsi="Arial" w:cs="Arial"/>
          <w:sz w:val="22"/>
          <w:szCs w:val="22"/>
          <w:lang w:val="en-US"/>
        </w:rPr>
        <w:t xml:space="preserve"> should engage with the economy representative to ensure that their Concept Note addresses the </w:t>
      </w:r>
      <w:r>
        <w:rPr>
          <w:rFonts w:ascii="Arial" w:eastAsiaTheme="minorHAnsi" w:hAnsi="Arial" w:cs="Arial"/>
          <w:sz w:val="22"/>
          <w:szCs w:val="22"/>
          <w:lang w:val="en-US"/>
        </w:rPr>
        <w:t>SRSG</w:t>
      </w:r>
      <w:r w:rsidR="008019A7">
        <w:rPr>
          <w:rFonts w:ascii="Arial" w:eastAsiaTheme="minorHAnsi" w:hAnsi="Arial" w:cs="Arial"/>
          <w:sz w:val="22"/>
          <w:szCs w:val="22"/>
          <w:lang w:val="en-US"/>
        </w:rPr>
        <w:t>G</w:t>
      </w:r>
      <w:r w:rsidRPr="00C542CC">
        <w:rPr>
          <w:rFonts w:ascii="Arial" w:eastAsiaTheme="minorHAnsi" w:hAnsi="Arial" w:cs="Arial"/>
          <w:sz w:val="22"/>
          <w:szCs w:val="22"/>
          <w:lang w:val="en-US"/>
        </w:rPr>
        <w:t xml:space="preserve"> </w:t>
      </w:r>
      <w:r>
        <w:rPr>
          <w:rFonts w:ascii="Arial" w:eastAsiaTheme="minorHAnsi" w:hAnsi="Arial" w:cs="Arial"/>
          <w:sz w:val="22"/>
          <w:szCs w:val="22"/>
          <w:lang w:val="en-US"/>
        </w:rPr>
        <w:t>Sub-Fund</w:t>
      </w:r>
      <w:r w:rsidRPr="00C542CC">
        <w:rPr>
          <w:rFonts w:ascii="Arial" w:eastAsiaTheme="minorHAnsi" w:hAnsi="Arial" w:cs="Arial"/>
          <w:sz w:val="22"/>
          <w:szCs w:val="22"/>
          <w:lang w:val="en-US"/>
        </w:rPr>
        <w:t>’s objectives.</w:t>
      </w:r>
    </w:p>
    <w:sectPr w:rsidR="00803EF1" w:rsidSect="00DE3944">
      <w:footerReference w:type="default" r:id="rId8"/>
      <w:headerReference w:type="first" r:id="rId9"/>
      <w:footerReference w:type="first" r:id="rId10"/>
      <w:pgSz w:w="11906" w:h="16838"/>
      <w:pgMar w:top="1418" w:right="1418" w:bottom="1418"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89EF" w14:textId="77777777" w:rsidR="0045424F" w:rsidRDefault="0045424F" w:rsidP="00023335">
      <w:pPr>
        <w:spacing w:line="240" w:lineRule="auto"/>
      </w:pPr>
      <w:r>
        <w:separator/>
      </w:r>
    </w:p>
  </w:endnote>
  <w:endnote w:type="continuationSeparator" w:id="0">
    <w:p w14:paraId="3C8154DC" w14:textId="77777777" w:rsidR="0045424F" w:rsidRDefault="0045424F"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CDB3" w14:textId="77777777" w:rsidR="00023335" w:rsidRDefault="00023335" w:rsidP="00CE1AA0">
    <w:pPr>
      <w:pStyle w:val="Footer"/>
      <w:jc w:val="center"/>
    </w:pPr>
    <w:bookmarkStart w:id="0" w:name="covering_classification_footer2"/>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200D" w14:textId="77777777" w:rsidR="00023335" w:rsidRDefault="00023335" w:rsidP="00CE1AA0">
    <w:pPr>
      <w:pStyle w:val="Footer"/>
      <w:jc w:val="center"/>
    </w:pPr>
    <w:bookmarkStart w:id="2" w:name="covering_classification_foote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8800F" w14:textId="77777777" w:rsidR="0045424F" w:rsidRDefault="0045424F" w:rsidP="00023335">
      <w:pPr>
        <w:spacing w:line="240" w:lineRule="auto"/>
      </w:pPr>
      <w:r>
        <w:separator/>
      </w:r>
    </w:p>
  </w:footnote>
  <w:footnote w:type="continuationSeparator" w:id="0">
    <w:p w14:paraId="41F3FADB" w14:textId="77777777" w:rsidR="0045424F" w:rsidRDefault="0045424F" w:rsidP="000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E171" w14:textId="77777777" w:rsidR="00023335" w:rsidRDefault="00023335" w:rsidP="00CE1AA0">
    <w:pPr>
      <w:pStyle w:val="SecurityClassification"/>
    </w:pPr>
    <w:bookmarkStart w:id="1" w:name="covering_classification_heade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1D503D28"/>
    <w:multiLevelType w:val="hybridMultilevel"/>
    <w:tmpl w:val="0B147712"/>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3F9B58D4"/>
    <w:multiLevelType w:val="hybridMultilevel"/>
    <w:tmpl w:val="F68A9CD4"/>
    <w:lvl w:ilvl="0" w:tplc="0C090001">
      <w:start w:val="1"/>
      <w:numFmt w:val="bullet"/>
      <w:lvlText w:val=""/>
      <w:lvlJc w:val="left"/>
      <w:pPr>
        <w:ind w:left="1335" w:hanging="615"/>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9" w15:restartNumberingAfterBreak="0">
    <w:nsid w:val="64EC7B6F"/>
    <w:multiLevelType w:val="hybridMultilevel"/>
    <w:tmpl w:val="5D34FD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63995626">
    <w:abstractNumId w:val="0"/>
  </w:num>
  <w:num w:numId="2" w16cid:durableId="1910112284">
    <w:abstractNumId w:val="6"/>
  </w:num>
  <w:num w:numId="3" w16cid:durableId="325475871">
    <w:abstractNumId w:val="3"/>
  </w:num>
  <w:num w:numId="4" w16cid:durableId="309284912">
    <w:abstractNumId w:val="5"/>
  </w:num>
  <w:num w:numId="5" w16cid:durableId="546986830">
    <w:abstractNumId w:val="8"/>
  </w:num>
  <w:num w:numId="6" w16cid:durableId="1863323768">
    <w:abstractNumId w:val="7"/>
  </w:num>
  <w:num w:numId="7" w16cid:durableId="355080219">
    <w:abstractNumId w:val="1"/>
  </w:num>
  <w:num w:numId="8" w16cid:durableId="893734693">
    <w:abstractNumId w:val="9"/>
  </w:num>
  <w:num w:numId="9" w16cid:durableId="163010772">
    <w:abstractNumId w:val="2"/>
  </w:num>
  <w:num w:numId="10" w16cid:durableId="156043886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4C"/>
    <w:rsid w:val="00023335"/>
    <w:rsid w:val="00071F86"/>
    <w:rsid w:val="000A3B90"/>
    <w:rsid w:val="001F28DD"/>
    <w:rsid w:val="00213622"/>
    <w:rsid w:val="002173C7"/>
    <w:rsid w:val="00236A09"/>
    <w:rsid w:val="00255554"/>
    <w:rsid w:val="00280800"/>
    <w:rsid w:val="00291F8E"/>
    <w:rsid w:val="002B6045"/>
    <w:rsid w:val="0030000E"/>
    <w:rsid w:val="00303A38"/>
    <w:rsid w:val="003E5F24"/>
    <w:rsid w:val="003F4A6D"/>
    <w:rsid w:val="0045424F"/>
    <w:rsid w:val="00515590"/>
    <w:rsid w:val="00584872"/>
    <w:rsid w:val="005F099A"/>
    <w:rsid w:val="005F1313"/>
    <w:rsid w:val="00631640"/>
    <w:rsid w:val="0067201F"/>
    <w:rsid w:val="00681D0D"/>
    <w:rsid w:val="006A699C"/>
    <w:rsid w:val="006D2D4C"/>
    <w:rsid w:val="008019A7"/>
    <w:rsid w:val="00803EF1"/>
    <w:rsid w:val="00832846"/>
    <w:rsid w:val="008A31F0"/>
    <w:rsid w:val="008D17C5"/>
    <w:rsid w:val="008D2C23"/>
    <w:rsid w:val="009602EC"/>
    <w:rsid w:val="009D261D"/>
    <w:rsid w:val="009D40EF"/>
    <w:rsid w:val="009F5D27"/>
    <w:rsid w:val="00AC7371"/>
    <w:rsid w:val="00AE0B06"/>
    <w:rsid w:val="00B37FF1"/>
    <w:rsid w:val="00B72B22"/>
    <w:rsid w:val="00C36A17"/>
    <w:rsid w:val="00CD2C20"/>
    <w:rsid w:val="00CE1AA0"/>
    <w:rsid w:val="00D80F3E"/>
    <w:rsid w:val="00D96C65"/>
    <w:rsid w:val="00DB5226"/>
    <w:rsid w:val="00DE3944"/>
    <w:rsid w:val="00DF3176"/>
    <w:rsid w:val="00E528C9"/>
    <w:rsid w:val="00EA04C8"/>
    <w:rsid w:val="00F06D90"/>
    <w:rsid w:val="00F67086"/>
    <w:rsid w:val="00F672B4"/>
    <w:rsid w:val="00F868CB"/>
    <w:rsid w:val="00FC043A"/>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89A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6D2D4C"/>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ListParagraph">
    <w:name w:val="List Paragraph"/>
    <w:basedOn w:val="Normal"/>
    <w:uiPriority w:val="34"/>
    <w:qFormat/>
    <w:rsid w:val="006D2D4C"/>
    <w:pPr>
      <w:ind w:left="720"/>
      <w:contextualSpacing/>
    </w:pPr>
  </w:style>
  <w:style w:type="paragraph" w:styleId="NormalWeb">
    <w:name w:val="Normal (Web)"/>
    <w:basedOn w:val="Normal"/>
    <w:uiPriority w:val="99"/>
    <w:semiHidden/>
    <w:unhideWhenUsed/>
    <w:rsid w:val="006D2D4C"/>
    <w:pPr>
      <w:tabs>
        <w:tab w:val="clear" w:pos="567"/>
      </w:tabs>
      <w:spacing w:before="100" w:beforeAutospacing="1" w:after="100" w:afterAutospacing="1" w:line="240" w:lineRule="auto"/>
    </w:pPr>
    <w:rPr>
      <w:rFonts w:ascii="Times New Roman" w:hAnsi="Times New Roman"/>
      <w:sz w:val="24"/>
      <w:lang w:val="en-GB" w:eastAsia="en-GB" w:bidi="he-IL"/>
    </w:rPr>
  </w:style>
  <w:style w:type="paragraph" w:styleId="Revision">
    <w:name w:val="Revision"/>
    <w:hidden/>
    <w:uiPriority w:val="99"/>
    <w:semiHidden/>
    <w:rsid w:val="00E528C9"/>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4F40A-C2FD-44D7-97D3-3CF56DE8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2023-05-23T01:21:00Z</dcterms:created>
  <dcterms:modified xsi:type="dcterms:W3CDTF">2023-05-23T01:21:00Z</dcterms:modified>
</cp:coreProperties>
</file>