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268"/>
        <w:tblW w:w="11430" w:type="dxa"/>
        <w:tblLook w:val="04A0" w:firstRow="1" w:lastRow="0" w:firstColumn="1" w:lastColumn="0" w:noHBand="0" w:noVBand="1"/>
      </w:tblPr>
      <w:tblGrid>
        <w:gridCol w:w="1710"/>
        <w:gridCol w:w="9720"/>
      </w:tblGrid>
      <w:tr w:rsidR="000F66E5" w:rsidTr="00F45ABB">
        <w:tc>
          <w:tcPr>
            <w:tcW w:w="1710" w:type="dxa"/>
          </w:tcPr>
          <w:p w:rsidR="000F66E5" w:rsidRPr="00F45ABB" w:rsidRDefault="00AA39B8" w:rsidP="00F45ABB">
            <w:pPr>
              <w:rPr>
                <w:b/>
                <w:sz w:val="20"/>
                <w:szCs w:val="20"/>
              </w:rPr>
            </w:pPr>
            <w:r w:rsidRPr="00F45ABB">
              <w:rPr>
                <w:b/>
                <w:sz w:val="20"/>
                <w:szCs w:val="20"/>
              </w:rPr>
              <w:t>Section</w:t>
            </w:r>
          </w:p>
        </w:tc>
        <w:tc>
          <w:tcPr>
            <w:tcW w:w="9720" w:type="dxa"/>
          </w:tcPr>
          <w:p w:rsidR="000F66E5" w:rsidRPr="00F45ABB" w:rsidRDefault="000F66E5" w:rsidP="00F45ABB">
            <w:pPr>
              <w:rPr>
                <w:b/>
                <w:sz w:val="20"/>
                <w:szCs w:val="20"/>
              </w:rPr>
            </w:pPr>
            <w:r w:rsidRPr="00F45ABB">
              <w:rPr>
                <w:b/>
                <w:sz w:val="20"/>
                <w:szCs w:val="20"/>
              </w:rPr>
              <w:t xml:space="preserve">Description </w:t>
            </w:r>
          </w:p>
        </w:tc>
      </w:tr>
      <w:tr w:rsidR="00AA39B8" w:rsidTr="00F45ABB">
        <w:tc>
          <w:tcPr>
            <w:tcW w:w="11430" w:type="dxa"/>
            <w:gridSpan w:val="2"/>
          </w:tcPr>
          <w:p w:rsidR="00AA39B8" w:rsidRPr="00F45ABB" w:rsidRDefault="00AA39B8" w:rsidP="00F45ABB">
            <w:pPr>
              <w:rPr>
                <w:b/>
                <w:sz w:val="20"/>
                <w:szCs w:val="20"/>
              </w:rPr>
            </w:pPr>
          </w:p>
        </w:tc>
      </w:tr>
      <w:tr w:rsidR="005F3B0A" w:rsidTr="00F45ABB">
        <w:tc>
          <w:tcPr>
            <w:tcW w:w="11430" w:type="dxa"/>
            <w:gridSpan w:val="2"/>
          </w:tcPr>
          <w:p w:rsidR="005F3B0A" w:rsidRPr="00F45ABB" w:rsidRDefault="005F3B0A" w:rsidP="00F45ABB">
            <w:pPr>
              <w:rPr>
                <w:b/>
                <w:sz w:val="20"/>
                <w:szCs w:val="20"/>
              </w:rPr>
            </w:pPr>
            <w:r>
              <w:rPr>
                <w:b/>
                <w:sz w:val="20"/>
                <w:szCs w:val="20"/>
              </w:rPr>
              <w:t>Chapter 1. Introduction</w:t>
            </w:r>
          </w:p>
        </w:tc>
      </w:tr>
      <w:tr w:rsidR="005F3B0A" w:rsidTr="009823FA">
        <w:trPr>
          <w:trHeight w:val="493"/>
        </w:trPr>
        <w:tc>
          <w:tcPr>
            <w:tcW w:w="1710" w:type="dxa"/>
          </w:tcPr>
          <w:p w:rsidR="005F3B0A" w:rsidRPr="005F3B0A" w:rsidRDefault="005F3B0A" w:rsidP="00F45ABB">
            <w:pPr>
              <w:rPr>
                <w:sz w:val="20"/>
                <w:szCs w:val="20"/>
              </w:rPr>
            </w:pPr>
            <w:r w:rsidRPr="005F3B0A">
              <w:rPr>
                <w:sz w:val="20"/>
                <w:szCs w:val="20"/>
              </w:rPr>
              <w:t>1-10</w:t>
            </w:r>
          </w:p>
        </w:tc>
        <w:tc>
          <w:tcPr>
            <w:tcW w:w="9720" w:type="dxa"/>
          </w:tcPr>
          <w:p w:rsidR="005F3B0A" w:rsidRPr="005F3B0A" w:rsidRDefault="005F3B0A" w:rsidP="009823FA">
            <w:pPr>
              <w:rPr>
                <w:sz w:val="20"/>
                <w:szCs w:val="20"/>
              </w:rPr>
            </w:pPr>
            <w:r w:rsidRPr="005F3B0A">
              <w:rPr>
                <w:sz w:val="20"/>
                <w:szCs w:val="20"/>
              </w:rPr>
              <w:t xml:space="preserve">(Capacity Building) Update to specify that children (persons below 18 years of age) may not participate in APEC projects, to maximise capacity building outcomes and minimise risk and liability issues for APEC. </w:t>
            </w:r>
          </w:p>
        </w:tc>
      </w:tr>
      <w:tr w:rsidR="000F66E5" w:rsidTr="00F45ABB">
        <w:tc>
          <w:tcPr>
            <w:tcW w:w="11430" w:type="dxa"/>
            <w:gridSpan w:val="2"/>
          </w:tcPr>
          <w:p w:rsidR="000F66E5" w:rsidRPr="00F45ABB" w:rsidRDefault="000F66E5" w:rsidP="00F45ABB">
            <w:pPr>
              <w:rPr>
                <w:b/>
                <w:sz w:val="20"/>
                <w:szCs w:val="20"/>
              </w:rPr>
            </w:pPr>
            <w:r w:rsidRPr="00F45ABB">
              <w:rPr>
                <w:b/>
                <w:sz w:val="20"/>
                <w:szCs w:val="20"/>
              </w:rPr>
              <w:t xml:space="preserve">Chapter </w:t>
            </w:r>
            <w:r w:rsidR="005F3B0A">
              <w:rPr>
                <w:b/>
                <w:sz w:val="20"/>
                <w:szCs w:val="20"/>
              </w:rPr>
              <w:t>2</w:t>
            </w:r>
            <w:r w:rsidRPr="00F45ABB">
              <w:rPr>
                <w:b/>
                <w:sz w:val="20"/>
                <w:szCs w:val="20"/>
              </w:rPr>
              <w:t>. Roles and Responsibilities</w:t>
            </w:r>
          </w:p>
        </w:tc>
      </w:tr>
      <w:tr w:rsidR="005F3B0A" w:rsidRPr="000B3698" w:rsidTr="00F45ABB">
        <w:tc>
          <w:tcPr>
            <w:tcW w:w="1710" w:type="dxa"/>
          </w:tcPr>
          <w:p w:rsidR="005F3B0A" w:rsidRPr="00F45ABB" w:rsidRDefault="005F3B0A" w:rsidP="005F3B0A">
            <w:pPr>
              <w:rPr>
                <w:sz w:val="20"/>
                <w:szCs w:val="20"/>
              </w:rPr>
            </w:pPr>
            <w:r w:rsidRPr="00F45ABB">
              <w:rPr>
                <w:sz w:val="20"/>
                <w:szCs w:val="20"/>
              </w:rPr>
              <w:t>2-</w:t>
            </w:r>
            <w:r>
              <w:rPr>
                <w:sz w:val="20"/>
                <w:szCs w:val="20"/>
              </w:rPr>
              <w:t>6</w:t>
            </w:r>
          </w:p>
        </w:tc>
        <w:tc>
          <w:tcPr>
            <w:tcW w:w="9720" w:type="dxa"/>
          </w:tcPr>
          <w:p w:rsidR="005F3B0A" w:rsidRPr="005F3B0A" w:rsidRDefault="005F3B0A" w:rsidP="005F3B0A">
            <w:pPr>
              <w:rPr>
                <w:sz w:val="20"/>
                <w:szCs w:val="20"/>
              </w:rPr>
            </w:pPr>
            <w:r w:rsidRPr="005F3B0A">
              <w:rPr>
                <w:sz w:val="20"/>
                <w:szCs w:val="20"/>
              </w:rPr>
              <w:t>Update to clarify that if a Project Overseer is replaced, it should be by an official in the same organisation, since APEC funding is awarded to the Project Overseer as a representative of the organisation that proposed the project.</w:t>
            </w:r>
          </w:p>
        </w:tc>
      </w:tr>
      <w:tr w:rsidR="005F3B0A" w:rsidRPr="000B3698" w:rsidTr="00F45ABB">
        <w:tc>
          <w:tcPr>
            <w:tcW w:w="1710" w:type="dxa"/>
          </w:tcPr>
          <w:p w:rsidR="005F3B0A" w:rsidRPr="00F45ABB" w:rsidRDefault="005F3B0A" w:rsidP="005F3B0A">
            <w:pPr>
              <w:rPr>
                <w:sz w:val="20"/>
                <w:szCs w:val="20"/>
              </w:rPr>
            </w:pPr>
            <w:r w:rsidRPr="00F45ABB">
              <w:rPr>
                <w:sz w:val="20"/>
                <w:szCs w:val="20"/>
              </w:rPr>
              <w:t>2-1</w:t>
            </w:r>
            <w:r>
              <w:rPr>
                <w:sz w:val="20"/>
                <w:szCs w:val="20"/>
              </w:rPr>
              <w:t>1</w:t>
            </w:r>
          </w:p>
        </w:tc>
        <w:tc>
          <w:tcPr>
            <w:tcW w:w="9720" w:type="dxa"/>
          </w:tcPr>
          <w:p w:rsidR="005F3B0A" w:rsidRPr="005F3B0A" w:rsidRDefault="005D62AF" w:rsidP="005F3B0A">
            <w:pPr>
              <w:rPr>
                <w:sz w:val="20"/>
                <w:szCs w:val="20"/>
              </w:rPr>
            </w:pPr>
            <w:r>
              <w:rPr>
                <w:sz w:val="20"/>
                <w:szCs w:val="20"/>
              </w:rPr>
              <w:t>A</w:t>
            </w:r>
            <w:r w:rsidR="005F3B0A" w:rsidRPr="005F3B0A">
              <w:rPr>
                <w:sz w:val="20"/>
                <w:szCs w:val="20"/>
              </w:rPr>
              <w:t xml:space="preserve">ddition to prevent Project Overseers from starting new APEC projects in parallel with existing ones, if their existing projects are not in compliance with APEC project policies and processes, or they </w:t>
            </w:r>
            <w:r w:rsidR="005F3B0A">
              <w:rPr>
                <w:sz w:val="20"/>
                <w:szCs w:val="20"/>
              </w:rPr>
              <w:t>have been</w:t>
            </w:r>
            <w:r w:rsidR="005F3B0A" w:rsidRPr="005F3B0A">
              <w:rPr>
                <w:sz w:val="20"/>
                <w:szCs w:val="20"/>
              </w:rPr>
              <w:t xml:space="preserve"> unresponsive to Secretariat correspondence</w:t>
            </w:r>
            <w:r w:rsidR="005F3B0A">
              <w:rPr>
                <w:sz w:val="20"/>
                <w:szCs w:val="20"/>
              </w:rPr>
              <w:t xml:space="preserve"> for a period exceeding three (3) months</w:t>
            </w:r>
            <w:r w:rsidR="005F3B0A" w:rsidRPr="005F3B0A">
              <w:rPr>
                <w:sz w:val="20"/>
                <w:szCs w:val="20"/>
              </w:rPr>
              <w:t xml:space="preserve">. </w:t>
            </w:r>
            <w:bookmarkStart w:id="0" w:name="_GoBack"/>
            <w:bookmarkEnd w:id="0"/>
          </w:p>
        </w:tc>
      </w:tr>
      <w:tr w:rsidR="000F66E5" w:rsidRPr="000B3698" w:rsidTr="00F45ABB">
        <w:tc>
          <w:tcPr>
            <w:tcW w:w="11430" w:type="dxa"/>
            <w:gridSpan w:val="2"/>
          </w:tcPr>
          <w:p w:rsidR="000F66E5" w:rsidRPr="00F45ABB" w:rsidRDefault="000F66E5" w:rsidP="00F45ABB">
            <w:pPr>
              <w:rPr>
                <w:b/>
                <w:sz w:val="20"/>
                <w:szCs w:val="20"/>
              </w:rPr>
            </w:pPr>
            <w:r w:rsidRPr="00F45ABB">
              <w:rPr>
                <w:b/>
                <w:sz w:val="20"/>
                <w:szCs w:val="20"/>
              </w:rPr>
              <w:t>Chapter 3. Funding and Accounts</w:t>
            </w:r>
          </w:p>
        </w:tc>
      </w:tr>
      <w:tr w:rsidR="000F66E5" w:rsidRPr="000B3698" w:rsidTr="0077474C">
        <w:trPr>
          <w:trHeight w:val="246"/>
        </w:trPr>
        <w:tc>
          <w:tcPr>
            <w:tcW w:w="1710" w:type="dxa"/>
          </w:tcPr>
          <w:p w:rsidR="000F66E5" w:rsidRPr="00F45ABB" w:rsidRDefault="000F66E5" w:rsidP="00F45ABB">
            <w:pPr>
              <w:rPr>
                <w:sz w:val="20"/>
                <w:szCs w:val="20"/>
              </w:rPr>
            </w:pPr>
            <w:r w:rsidRPr="00F45ABB">
              <w:rPr>
                <w:sz w:val="20"/>
                <w:szCs w:val="20"/>
              </w:rPr>
              <w:t>3-</w:t>
            </w:r>
            <w:r w:rsidR="0077474C">
              <w:rPr>
                <w:sz w:val="20"/>
                <w:szCs w:val="20"/>
              </w:rPr>
              <w:t>7</w:t>
            </w:r>
          </w:p>
        </w:tc>
        <w:tc>
          <w:tcPr>
            <w:tcW w:w="9720" w:type="dxa"/>
          </w:tcPr>
          <w:p w:rsidR="000F66E5" w:rsidRPr="00F45ABB" w:rsidRDefault="0077474C" w:rsidP="009823FA">
            <w:pPr>
              <w:rPr>
                <w:sz w:val="20"/>
                <w:szCs w:val="20"/>
              </w:rPr>
            </w:pPr>
            <w:r w:rsidRPr="0077474C">
              <w:rPr>
                <w:sz w:val="20"/>
                <w:szCs w:val="20"/>
              </w:rPr>
              <w:t>To clarify that economies implementing APEC projects may not seek to gain financially.</w:t>
            </w:r>
          </w:p>
        </w:tc>
      </w:tr>
      <w:tr w:rsidR="000F66E5" w:rsidTr="00F45ABB">
        <w:tc>
          <w:tcPr>
            <w:tcW w:w="11430" w:type="dxa"/>
            <w:gridSpan w:val="2"/>
          </w:tcPr>
          <w:p w:rsidR="000F66E5" w:rsidRPr="00F45ABB" w:rsidRDefault="000F66E5" w:rsidP="00F45ABB">
            <w:pPr>
              <w:rPr>
                <w:b/>
                <w:sz w:val="20"/>
                <w:szCs w:val="20"/>
              </w:rPr>
            </w:pPr>
            <w:r w:rsidRPr="00F45ABB">
              <w:rPr>
                <w:b/>
                <w:sz w:val="20"/>
                <w:szCs w:val="20"/>
              </w:rPr>
              <w:t xml:space="preserve">Chapter 5. Applying for Funding </w:t>
            </w:r>
          </w:p>
        </w:tc>
      </w:tr>
      <w:tr w:rsidR="0077474C" w:rsidRPr="007915A8" w:rsidTr="00F45ABB">
        <w:trPr>
          <w:trHeight w:val="242"/>
        </w:trPr>
        <w:tc>
          <w:tcPr>
            <w:tcW w:w="1710" w:type="dxa"/>
          </w:tcPr>
          <w:p w:rsidR="0077474C" w:rsidRPr="00F45ABB" w:rsidRDefault="0077474C" w:rsidP="0077474C">
            <w:pPr>
              <w:rPr>
                <w:sz w:val="20"/>
                <w:szCs w:val="20"/>
              </w:rPr>
            </w:pPr>
            <w:r w:rsidRPr="00F45ABB">
              <w:rPr>
                <w:sz w:val="20"/>
                <w:szCs w:val="20"/>
              </w:rPr>
              <w:t>5-</w:t>
            </w:r>
            <w:r w:rsidR="009823FA">
              <w:rPr>
                <w:sz w:val="20"/>
                <w:szCs w:val="20"/>
              </w:rPr>
              <w:t>5</w:t>
            </w:r>
          </w:p>
        </w:tc>
        <w:tc>
          <w:tcPr>
            <w:tcW w:w="9720" w:type="dxa"/>
          </w:tcPr>
          <w:p w:rsidR="0077474C" w:rsidRPr="0077474C" w:rsidRDefault="0077474C" w:rsidP="0077474C">
            <w:pPr>
              <w:rPr>
                <w:sz w:val="20"/>
                <w:szCs w:val="20"/>
              </w:rPr>
            </w:pPr>
            <w:r w:rsidRPr="0077474C">
              <w:rPr>
                <w:sz w:val="20"/>
                <w:szCs w:val="20"/>
              </w:rPr>
              <w:t>Update to clarify that POs must confirm co-sponsorship in writing before submission of the Concept Note by the internal submission deadline.</w:t>
            </w:r>
          </w:p>
        </w:tc>
      </w:tr>
      <w:tr w:rsidR="0077474C" w:rsidRPr="007915A8" w:rsidTr="00F45ABB">
        <w:trPr>
          <w:trHeight w:val="242"/>
        </w:trPr>
        <w:tc>
          <w:tcPr>
            <w:tcW w:w="1710" w:type="dxa"/>
          </w:tcPr>
          <w:p w:rsidR="0077474C" w:rsidRPr="00F45ABB" w:rsidRDefault="0077474C" w:rsidP="0077474C">
            <w:pPr>
              <w:rPr>
                <w:sz w:val="20"/>
                <w:szCs w:val="20"/>
              </w:rPr>
            </w:pPr>
            <w:r w:rsidRPr="00F45ABB">
              <w:rPr>
                <w:sz w:val="20"/>
                <w:szCs w:val="20"/>
              </w:rPr>
              <w:t>5-</w:t>
            </w:r>
            <w:r w:rsidR="009823FA">
              <w:rPr>
                <w:sz w:val="20"/>
                <w:szCs w:val="20"/>
              </w:rPr>
              <w:t>24</w:t>
            </w:r>
          </w:p>
        </w:tc>
        <w:tc>
          <w:tcPr>
            <w:tcW w:w="9720" w:type="dxa"/>
          </w:tcPr>
          <w:p w:rsidR="0077474C" w:rsidRPr="0077474C" w:rsidRDefault="0077474C" w:rsidP="0077474C">
            <w:pPr>
              <w:rPr>
                <w:sz w:val="20"/>
                <w:szCs w:val="20"/>
              </w:rPr>
            </w:pPr>
            <w:r w:rsidRPr="0077474C">
              <w:rPr>
                <w:sz w:val="20"/>
                <w:szCs w:val="20"/>
              </w:rPr>
              <w:t xml:space="preserve">Update to reflect BMC’s decision to allow POs of unsuccessful CNs to request the </w:t>
            </w:r>
            <w:proofErr w:type="spellStart"/>
            <w:r w:rsidRPr="0077474C">
              <w:rPr>
                <w:sz w:val="20"/>
                <w:szCs w:val="20"/>
              </w:rPr>
              <w:t>averaged</w:t>
            </w:r>
            <w:proofErr w:type="spellEnd"/>
            <w:r w:rsidRPr="0077474C">
              <w:rPr>
                <w:sz w:val="20"/>
                <w:szCs w:val="20"/>
              </w:rPr>
              <w:t xml:space="preserve"> scores for each CN evaluation criterion, in order to identify and address weaknesses in their CNs.  </w:t>
            </w:r>
          </w:p>
        </w:tc>
      </w:tr>
      <w:tr w:rsidR="000F66E5" w:rsidTr="00F45ABB">
        <w:tc>
          <w:tcPr>
            <w:tcW w:w="11430" w:type="dxa"/>
            <w:gridSpan w:val="2"/>
          </w:tcPr>
          <w:p w:rsidR="000F66E5" w:rsidRPr="00F45ABB" w:rsidRDefault="000F66E5" w:rsidP="00F45ABB">
            <w:pPr>
              <w:rPr>
                <w:sz w:val="20"/>
                <w:szCs w:val="20"/>
              </w:rPr>
            </w:pPr>
            <w:r w:rsidRPr="00F45ABB">
              <w:rPr>
                <w:b/>
                <w:sz w:val="20"/>
                <w:szCs w:val="20"/>
              </w:rPr>
              <w:t xml:space="preserve">Chapter 8. </w:t>
            </w:r>
            <w:r w:rsidR="009823FA">
              <w:rPr>
                <w:b/>
                <w:sz w:val="20"/>
                <w:szCs w:val="20"/>
              </w:rPr>
              <w:t>APEC Project Expenses</w:t>
            </w:r>
            <w:r w:rsidR="00EF1053" w:rsidRPr="00F45ABB">
              <w:rPr>
                <w:b/>
                <w:sz w:val="20"/>
                <w:szCs w:val="20"/>
              </w:rPr>
              <w:t xml:space="preserve"> </w:t>
            </w:r>
          </w:p>
        </w:tc>
      </w:tr>
      <w:tr w:rsidR="000F66E5" w:rsidTr="00F45ABB">
        <w:tc>
          <w:tcPr>
            <w:tcW w:w="1710" w:type="dxa"/>
          </w:tcPr>
          <w:p w:rsidR="000F66E5" w:rsidRPr="00F45ABB" w:rsidRDefault="000F66E5" w:rsidP="00F45ABB">
            <w:pPr>
              <w:rPr>
                <w:sz w:val="20"/>
                <w:szCs w:val="20"/>
              </w:rPr>
            </w:pPr>
            <w:r w:rsidRPr="00F45ABB">
              <w:rPr>
                <w:sz w:val="20"/>
                <w:szCs w:val="20"/>
              </w:rPr>
              <w:t>8-</w:t>
            </w:r>
            <w:r w:rsidR="009823FA">
              <w:rPr>
                <w:sz w:val="20"/>
                <w:szCs w:val="20"/>
              </w:rPr>
              <w:t>13 &amp; 8-14</w:t>
            </w:r>
          </w:p>
        </w:tc>
        <w:tc>
          <w:tcPr>
            <w:tcW w:w="9720" w:type="dxa"/>
          </w:tcPr>
          <w:p w:rsidR="000F66E5" w:rsidRPr="00F45ABB" w:rsidRDefault="009823FA" w:rsidP="009823FA">
            <w:pPr>
              <w:rPr>
                <w:sz w:val="20"/>
                <w:szCs w:val="20"/>
              </w:rPr>
            </w:pPr>
            <w:r w:rsidRPr="009823FA">
              <w:rPr>
                <w:sz w:val="20"/>
                <w:szCs w:val="20"/>
              </w:rPr>
              <w:t>Update to clarify the existing policy on splitting contracts and the process to seek a waiver.</w:t>
            </w:r>
          </w:p>
        </w:tc>
      </w:tr>
      <w:tr w:rsidR="000F66E5" w:rsidTr="00F45ABB">
        <w:tc>
          <w:tcPr>
            <w:tcW w:w="11430" w:type="dxa"/>
            <w:gridSpan w:val="2"/>
          </w:tcPr>
          <w:p w:rsidR="000F66E5" w:rsidRPr="00F45ABB" w:rsidRDefault="00DD1D09" w:rsidP="00F45ABB">
            <w:pPr>
              <w:rPr>
                <w:b/>
                <w:sz w:val="20"/>
                <w:szCs w:val="20"/>
              </w:rPr>
            </w:pPr>
            <w:r w:rsidRPr="00F45ABB">
              <w:rPr>
                <w:b/>
                <w:sz w:val="20"/>
                <w:szCs w:val="20"/>
              </w:rPr>
              <w:t xml:space="preserve">Chapter </w:t>
            </w:r>
            <w:r w:rsidR="009823FA">
              <w:rPr>
                <w:b/>
                <w:sz w:val="20"/>
                <w:szCs w:val="20"/>
              </w:rPr>
              <w:t>11</w:t>
            </w:r>
            <w:r w:rsidR="000F66E5" w:rsidRPr="00F45ABB">
              <w:rPr>
                <w:b/>
                <w:sz w:val="20"/>
                <w:szCs w:val="20"/>
              </w:rPr>
              <w:t xml:space="preserve">. </w:t>
            </w:r>
            <w:r w:rsidR="009823FA">
              <w:rPr>
                <w:b/>
                <w:sz w:val="20"/>
                <w:szCs w:val="20"/>
              </w:rPr>
              <w:t>Contracting</w:t>
            </w:r>
          </w:p>
        </w:tc>
      </w:tr>
      <w:tr w:rsidR="009823FA" w:rsidTr="00F45ABB">
        <w:tc>
          <w:tcPr>
            <w:tcW w:w="1710" w:type="dxa"/>
          </w:tcPr>
          <w:p w:rsidR="009823FA" w:rsidRPr="00F45ABB" w:rsidRDefault="009823FA" w:rsidP="009823FA">
            <w:pPr>
              <w:rPr>
                <w:sz w:val="20"/>
                <w:szCs w:val="20"/>
              </w:rPr>
            </w:pPr>
            <w:r>
              <w:rPr>
                <w:sz w:val="20"/>
                <w:szCs w:val="20"/>
              </w:rPr>
              <w:t>11-10</w:t>
            </w:r>
          </w:p>
        </w:tc>
        <w:tc>
          <w:tcPr>
            <w:tcW w:w="9720" w:type="dxa"/>
          </w:tcPr>
          <w:p w:rsidR="009823FA" w:rsidRPr="009823FA" w:rsidRDefault="009823FA" w:rsidP="009823FA">
            <w:pPr>
              <w:rPr>
                <w:sz w:val="20"/>
                <w:szCs w:val="20"/>
              </w:rPr>
            </w:pPr>
            <w:r w:rsidRPr="009823FA">
              <w:rPr>
                <w:sz w:val="20"/>
                <w:szCs w:val="20"/>
              </w:rPr>
              <w:t>Update to reinforce APEC’s policy in relation to Intellectual Property ownership, to avoid submission of projects that may expose APEC to risks in relation to defending IP interests.</w:t>
            </w:r>
            <w:r>
              <w:rPr>
                <w:sz w:val="20"/>
                <w:szCs w:val="20"/>
              </w:rPr>
              <w:t xml:space="preserve"> P</w:t>
            </w:r>
            <w:r w:rsidRPr="009823FA">
              <w:rPr>
                <w:sz w:val="20"/>
                <w:szCs w:val="20"/>
              </w:rPr>
              <w:t>rojects that expose APEC to high risk must be consulted with the APEC Secretariat prior to submission of the Concept Note.</w:t>
            </w:r>
          </w:p>
        </w:tc>
      </w:tr>
      <w:tr w:rsidR="009823FA" w:rsidTr="00F45ABB">
        <w:tc>
          <w:tcPr>
            <w:tcW w:w="1710" w:type="dxa"/>
          </w:tcPr>
          <w:p w:rsidR="009823FA" w:rsidRPr="00F45ABB" w:rsidRDefault="009823FA" w:rsidP="009823FA">
            <w:pPr>
              <w:rPr>
                <w:sz w:val="20"/>
                <w:szCs w:val="20"/>
              </w:rPr>
            </w:pPr>
            <w:r>
              <w:rPr>
                <w:sz w:val="20"/>
                <w:szCs w:val="20"/>
              </w:rPr>
              <w:t>11-32</w:t>
            </w:r>
          </w:p>
        </w:tc>
        <w:tc>
          <w:tcPr>
            <w:tcW w:w="9720" w:type="dxa"/>
          </w:tcPr>
          <w:p w:rsidR="009823FA" w:rsidRPr="009823FA" w:rsidRDefault="009823FA" w:rsidP="009823FA">
            <w:pPr>
              <w:rPr>
                <w:sz w:val="20"/>
                <w:szCs w:val="20"/>
              </w:rPr>
            </w:pPr>
            <w:r w:rsidRPr="009823FA">
              <w:rPr>
                <w:sz w:val="20"/>
                <w:szCs w:val="20"/>
              </w:rPr>
              <w:t>Update to clarify that if POs are unable to identify panellists for RFP evaluation processes from co-sponsoring economies, they may approach other members in their forum to participate in the panel.</w:t>
            </w:r>
          </w:p>
        </w:tc>
      </w:tr>
      <w:tr w:rsidR="000F66E5" w:rsidTr="00F45ABB">
        <w:tc>
          <w:tcPr>
            <w:tcW w:w="11430" w:type="dxa"/>
            <w:gridSpan w:val="2"/>
          </w:tcPr>
          <w:p w:rsidR="000F66E5" w:rsidRPr="00F45ABB" w:rsidRDefault="000F66E5" w:rsidP="00F45ABB">
            <w:pPr>
              <w:rPr>
                <w:b/>
                <w:sz w:val="20"/>
                <w:szCs w:val="20"/>
              </w:rPr>
            </w:pPr>
            <w:r w:rsidRPr="00F45ABB">
              <w:rPr>
                <w:b/>
                <w:sz w:val="20"/>
                <w:szCs w:val="20"/>
              </w:rPr>
              <w:t>Appendices</w:t>
            </w:r>
          </w:p>
        </w:tc>
      </w:tr>
      <w:tr w:rsidR="000F66E5" w:rsidTr="00F45ABB">
        <w:tc>
          <w:tcPr>
            <w:tcW w:w="1710" w:type="dxa"/>
          </w:tcPr>
          <w:p w:rsidR="000F66E5" w:rsidRPr="00283289" w:rsidRDefault="000F66E5" w:rsidP="00F45ABB">
            <w:pPr>
              <w:rPr>
                <w:sz w:val="20"/>
                <w:szCs w:val="20"/>
              </w:rPr>
            </w:pPr>
            <w:r w:rsidRPr="00283289">
              <w:rPr>
                <w:sz w:val="20"/>
                <w:szCs w:val="20"/>
              </w:rPr>
              <w:t>Appendix A</w:t>
            </w:r>
            <w:r w:rsidR="003964DF">
              <w:rPr>
                <w:sz w:val="20"/>
                <w:szCs w:val="20"/>
              </w:rPr>
              <w:t>-C</w:t>
            </w:r>
          </w:p>
        </w:tc>
        <w:tc>
          <w:tcPr>
            <w:tcW w:w="9720" w:type="dxa"/>
          </w:tcPr>
          <w:p w:rsidR="000F66E5" w:rsidRPr="00F45ABB" w:rsidRDefault="00283289" w:rsidP="00F45ABB">
            <w:pPr>
              <w:rPr>
                <w:sz w:val="20"/>
                <w:szCs w:val="20"/>
              </w:rPr>
            </w:pPr>
            <w:r>
              <w:rPr>
                <w:sz w:val="20"/>
                <w:szCs w:val="20"/>
              </w:rPr>
              <w:t>Edits to streamline, editorial updates</w:t>
            </w:r>
            <w:r w:rsidR="003964DF">
              <w:rPr>
                <w:sz w:val="20"/>
                <w:szCs w:val="20"/>
              </w:rPr>
              <w:t xml:space="preserve"> to templates</w:t>
            </w:r>
            <w:r w:rsidR="006C72EE">
              <w:rPr>
                <w:sz w:val="20"/>
                <w:szCs w:val="20"/>
              </w:rPr>
              <w:t>.</w:t>
            </w:r>
          </w:p>
        </w:tc>
      </w:tr>
      <w:tr w:rsidR="00964588" w:rsidTr="00F45ABB">
        <w:tc>
          <w:tcPr>
            <w:tcW w:w="1710" w:type="dxa"/>
          </w:tcPr>
          <w:p w:rsidR="00964588" w:rsidRPr="00283289" w:rsidRDefault="00964588" w:rsidP="00F45ABB">
            <w:pPr>
              <w:rPr>
                <w:sz w:val="20"/>
                <w:szCs w:val="20"/>
              </w:rPr>
            </w:pPr>
            <w:r>
              <w:rPr>
                <w:sz w:val="20"/>
                <w:szCs w:val="20"/>
              </w:rPr>
              <w:t>Appendix E-F</w:t>
            </w:r>
          </w:p>
        </w:tc>
        <w:tc>
          <w:tcPr>
            <w:tcW w:w="9720" w:type="dxa"/>
          </w:tcPr>
          <w:p w:rsidR="00964588" w:rsidRPr="00283289" w:rsidRDefault="00964588" w:rsidP="00964588">
            <w:pPr>
              <w:rPr>
                <w:sz w:val="20"/>
                <w:szCs w:val="20"/>
              </w:rPr>
            </w:pPr>
            <w:r w:rsidRPr="00964588">
              <w:rPr>
                <w:sz w:val="20"/>
                <w:szCs w:val="20"/>
              </w:rPr>
              <w:t>Minor editorial updates and a clarification to the Outputs Table.</w:t>
            </w:r>
          </w:p>
        </w:tc>
      </w:tr>
      <w:tr w:rsidR="000F66E5" w:rsidTr="00F45ABB">
        <w:tc>
          <w:tcPr>
            <w:tcW w:w="1710" w:type="dxa"/>
          </w:tcPr>
          <w:p w:rsidR="000F66E5" w:rsidRPr="00283289" w:rsidRDefault="000F66E5" w:rsidP="00F45ABB">
            <w:pPr>
              <w:rPr>
                <w:sz w:val="20"/>
                <w:szCs w:val="20"/>
              </w:rPr>
            </w:pPr>
            <w:r w:rsidRPr="00283289">
              <w:rPr>
                <w:sz w:val="20"/>
                <w:szCs w:val="20"/>
              </w:rPr>
              <w:t xml:space="preserve">Appendix </w:t>
            </w:r>
            <w:r w:rsidR="00283289" w:rsidRPr="00283289">
              <w:rPr>
                <w:sz w:val="20"/>
                <w:szCs w:val="20"/>
              </w:rPr>
              <w:t>M</w:t>
            </w:r>
          </w:p>
        </w:tc>
        <w:tc>
          <w:tcPr>
            <w:tcW w:w="9720" w:type="dxa"/>
          </w:tcPr>
          <w:p w:rsidR="000F66E5" w:rsidRPr="00283289" w:rsidRDefault="00283289" w:rsidP="00283289">
            <w:pPr>
              <w:rPr>
                <w:sz w:val="20"/>
                <w:szCs w:val="20"/>
              </w:rPr>
            </w:pPr>
            <w:r w:rsidRPr="00283289">
              <w:rPr>
                <w:sz w:val="20"/>
                <w:szCs w:val="20"/>
              </w:rPr>
              <w:t xml:space="preserve">Addition of a new appendix containing the BMC-endorsed Honorarium Payment Schedule.  </w:t>
            </w:r>
          </w:p>
        </w:tc>
      </w:tr>
      <w:tr w:rsidR="000F66E5" w:rsidTr="00F45ABB">
        <w:tc>
          <w:tcPr>
            <w:tcW w:w="1710" w:type="dxa"/>
          </w:tcPr>
          <w:p w:rsidR="000F66E5" w:rsidRPr="00283289" w:rsidRDefault="000F66E5" w:rsidP="00F45ABB">
            <w:pPr>
              <w:rPr>
                <w:sz w:val="20"/>
                <w:szCs w:val="20"/>
              </w:rPr>
            </w:pPr>
            <w:r w:rsidRPr="00283289">
              <w:rPr>
                <w:sz w:val="20"/>
                <w:szCs w:val="20"/>
              </w:rPr>
              <w:t xml:space="preserve">Appendix </w:t>
            </w:r>
            <w:r w:rsidR="00283289" w:rsidRPr="00283289">
              <w:rPr>
                <w:sz w:val="20"/>
                <w:szCs w:val="20"/>
              </w:rPr>
              <w:t>N</w:t>
            </w:r>
          </w:p>
        </w:tc>
        <w:tc>
          <w:tcPr>
            <w:tcW w:w="9720" w:type="dxa"/>
          </w:tcPr>
          <w:p w:rsidR="000F66E5" w:rsidRPr="00F45ABB" w:rsidRDefault="000F66E5" w:rsidP="00F45ABB">
            <w:pPr>
              <w:rPr>
                <w:sz w:val="20"/>
                <w:szCs w:val="20"/>
              </w:rPr>
            </w:pPr>
            <w:r w:rsidRPr="00F45ABB">
              <w:rPr>
                <w:sz w:val="20"/>
                <w:szCs w:val="20"/>
              </w:rPr>
              <w:t>A</w:t>
            </w:r>
            <w:r w:rsidR="00283289">
              <w:rPr>
                <w:sz w:val="20"/>
                <w:szCs w:val="20"/>
              </w:rPr>
              <w:t>ppendix of a new a</w:t>
            </w:r>
            <w:r w:rsidRPr="00F45ABB">
              <w:rPr>
                <w:sz w:val="20"/>
                <w:szCs w:val="20"/>
              </w:rPr>
              <w:t>ppendix contain</w:t>
            </w:r>
            <w:r w:rsidR="00283289">
              <w:rPr>
                <w:sz w:val="20"/>
                <w:szCs w:val="20"/>
              </w:rPr>
              <w:t>ing the APEC Project Event Recording Policy.</w:t>
            </w:r>
            <w:r w:rsidRPr="00F45ABB">
              <w:rPr>
                <w:sz w:val="20"/>
                <w:szCs w:val="20"/>
              </w:rPr>
              <w:t xml:space="preserve"> </w:t>
            </w:r>
          </w:p>
        </w:tc>
      </w:tr>
    </w:tbl>
    <w:p w:rsidR="00F45ABB" w:rsidRDefault="00F45ABB" w:rsidP="00F45ABB">
      <w:pPr>
        <w:jc w:val="center"/>
        <w:rPr>
          <w:sz w:val="24"/>
          <w:u w:val="single"/>
        </w:rPr>
      </w:pPr>
    </w:p>
    <w:p w:rsidR="00EF141B" w:rsidRPr="00862F99" w:rsidRDefault="00F45ABB" w:rsidP="00F45ABB">
      <w:pPr>
        <w:jc w:val="center"/>
        <w:rPr>
          <w:sz w:val="24"/>
          <w:u w:val="single"/>
        </w:rPr>
      </w:pPr>
      <w:r>
        <w:rPr>
          <w:sz w:val="24"/>
          <w:u w:val="single"/>
        </w:rPr>
        <w:t>Guidebook on APEC Projects Edition 1</w:t>
      </w:r>
      <w:r w:rsidR="005F3B0A">
        <w:rPr>
          <w:sz w:val="24"/>
          <w:u w:val="single"/>
        </w:rPr>
        <w:t>6</w:t>
      </w:r>
      <w:r>
        <w:rPr>
          <w:sz w:val="24"/>
          <w:u w:val="single"/>
        </w:rPr>
        <w:t>: Summary of Edits</w:t>
      </w:r>
    </w:p>
    <w:sectPr w:rsidR="00EF141B" w:rsidRPr="00862F99" w:rsidSect="000B7B30">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0DB"/>
    <w:multiLevelType w:val="hybridMultilevel"/>
    <w:tmpl w:val="17046650"/>
    <w:lvl w:ilvl="0" w:tplc="7C380856">
      <w:start w:val="1"/>
      <w:numFmt w:val="lowerLetter"/>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34222"/>
    <w:multiLevelType w:val="hybridMultilevel"/>
    <w:tmpl w:val="17046650"/>
    <w:lvl w:ilvl="0" w:tplc="7C380856">
      <w:start w:val="1"/>
      <w:numFmt w:val="lowerLetter"/>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04F7"/>
    <w:multiLevelType w:val="hybridMultilevel"/>
    <w:tmpl w:val="17046650"/>
    <w:lvl w:ilvl="0" w:tplc="7C380856">
      <w:start w:val="1"/>
      <w:numFmt w:val="lowerLetter"/>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42938"/>
    <w:multiLevelType w:val="hybridMultilevel"/>
    <w:tmpl w:val="17046650"/>
    <w:lvl w:ilvl="0" w:tplc="7C380856">
      <w:start w:val="1"/>
      <w:numFmt w:val="lowerLetter"/>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79"/>
    <w:rsid w:val="00003A89"/>
    <w:rsid w:val="00017B40"/>
    <w:rsid w:val="00017C64"/>
    <w:rsid w:val="00021F3D"/>
    <w:rsid w:val="000943D4"/>
    <w:rsid w:val="00095EF6"/>
    <w:rsid w:val="000B05C8"/>
    <w:rsid w:val="000B18AB"/>
    <w:rsid w:val="000B3698"/>
    <w:rsid w:val="000B7B30"/>
    <w:rsid w:val="000C2064"/>
    <w:rsid w:val="000F66E5"/>
    <w:rsid w:val="00102C3E"/>
    <w:rsid w:val="0012792D"/>
    <w:rsid w:val="00136E00"/>
    <w:rsid w:val="00153A38"/>
    <w:rsid w:val="00156584"/>
    <w:rsid w:val="00190B74"/>
    <w:rsid w:val="00196E5F"/>
    <w:rsid w:val="001D1F76"/>
    <w:rsid w:val="001D3BBE"/>
    <w:rsid w:val="001E5C1F"/>
    <w:rsid w:val="0020212A"/>
    <w:rsid w:val="00217F89"/>
    <w:rsid w:val="00231005"/>
    <w:rsid w:val="00232A55"/>
    <w:rsid w:val="00240265"/>
    <w:rsid w:val="002469EA"/>
    <w:rsid w:val="00283289"/>
    <w:rsid w:val="00287BE9"/>
    <w:rsid w:val="002930C0"/>
    <w:rsid w:val="002C0AD9"/>
    <w:rsid w:val="002D2A28"/>
    <w:rsid w:val="002E2400"/>
    <w:rsid w:val="002E7C75"/>
    <w:rsid w:val="0030053B"/>
    <w:rsid w:val="003179A7"/>
    <w:rsid w:val="00336ACB"/>
    <w:rsid w:val="00344753"/>
    <w:rsid w:val="00361C7D"/>
    <w:rsid w:val="003964DF"/>
    <w:rsid w:val="00397D9B"/>
    <w:rsid w:val="003A3740"/>
    <w:rsid w:val="003B1875"/>
    <w:rsid w:val="003B40B8"/>
    <w:rsid w:val="003C04D0"/>
    <w:rsid w:val="003D0DD6"/>
    <w:rsid w:val="003E4028"/>
    <w:rsid w:val="003E459D"/>
    <w:rsid w:val="003F42F0"/>
    <w:rsid w:val="00407161"/>
    <w:rsid w:val="00434093"/>
    <w:rsid w:val="004409F8"/>
    <w:rsid w:val="00442388"/>
    <w:rsid w:val="004501D2"/>
    <w:rsid w:val="00457DFF"/>
    <w:rsid w:val="0049435B"/>
    <w:rsid w:val="004D1842"/>
    <w:rsid w:val="005104A7"/>
    <w:rsid w:val="0055195C"/>
    <w:rsid w:val="00555690"/>
    <w:rsid w:val="00562397"/>
    <w:rsid w:val="00565C75"/>
    <w:rsid w:val="005B64AA"/>
    <w:rsid w:val="005D62AF"/>
    <w:rsid w:val="005F3B0A"/>
    <w:rsid w:val="00600C88"/>
    <w:rsid w:val="00605341"/>
    <w:rsid w:val="00613FDD"/>
    <w:rsid w:val="006208CB"/>
    <w:rsid w:val="00624D86"/>
    <w:rsid w:val="0066681A"/>
    <w:rsid w:val="00673358"/>
    <w:rsid w:val="006967EC"/>
    <w:rsid w:val="006A0D80"/>
    <w:rsid w:val="006C4235"/>
    <w:rsid w:val="006C58A2"/>
    <w:rsid w:val="006C72EE"/>
    <w:rsid w:val="00761584"/>
    <w:rsid w:val="007701D9"/>
    <w:rsid w:val="0077474C"/>
    <w:rsid w:val="007759A5"/>
    <w:rsid w:val="007857CE"/>
    <w:rsid w:val="00790775"/>
    <w:rsid w:val="007915A8"/>
    <w:rsid w:val="007B348A"/>
    <w:rsid w:val="007D02DB"/>
    <w:rsid w:val="007D4FCC"/>
    <w:rsid w:val="00813039"/>
    <w:rsid w:val="008202A8"/>
    <w:rsid w:val="008210D1"/>
    <w:rsid w:val="00823C44"/>
    <w:rsid w:val="00830903"/>
    <w:rsid w:val="00847862"/>
    <w:rsid w:val="00862F99"/>
    <w:rsid w:val="00863741"/>
    <w:rsid w:val="0087163F"/>
    <w:rsid w:val="0089616B"/>
    <w:rsid w:val="008A24DC"/>
    <w:rsid w:val="008B6639"/>
    <w:rsid w:val="008C1873"/>
    <w:rsid w:val="00921140"/>
    <w:rsid w:val="0092296B"/>
    <w:rsid w:val="00926CC0"/>
    <w:rsid w:val="00931CE8"/>
    <w:rsid w:val="009537A0"/>
    <w:rsid w:val="00954455"/>
    <w:rsid w:val="00964588"/>
    <w:rsid w:val="00971BA1"/>
    <w:rsid w:val="00981900"/>
    <w:rsid w:val="009823FA"/>
    <w:rsid w:val="009B4218"/>
    <w:rsid w:val="009B65E0"/>
    <w:rsid w:val="009D49F3"/>
    <w:rsid w:val="009E0BCA"/>
    <w:rsid w:val="009F0393"/>
    <w:rsid w:val="009F6901"/>
    <w:rsid w:val="00A1100F"/>
    <w:rsid w:val="00A141D2"/>
    <w:rsid w:val="00A34A0B"/>
    <w:rsid w:val="00A357C1"/>
    <w:rsid w:val="00A4524B"/>
    <w:rsid w:val="00A606A7"/>
    <w:rsid w:val="00A77BCD"/>
    <w:rsid w:val="00A847C3"/>
    <w:rsid w:val="00A877E5"/>
    <w:rsid w:val="00A97194"/>
    <w:rsid w:val="00AA39B8"/>
    <w:rsid w:val="00AB6F9F"/>
    <w:rsid w:val="00AC6DD0"/>
    <w:rsid w:val="00AD0144"/>
    <w:rsid w:val="00AE1CEE"/>
    <w:rsid w:val="00AF1945"/>
    <w:rsid w:val="00B01043"/>
    <w:rsid w:val="00B1225F"/>
    <w:rsid w:val="00B145E2"/>
    <w:rsid w:val="00B44378"/>
    <w:rsid w:val="00B52794"/>
    <w:rsid w:val="00B571AF"/>
    <w:rsid w:val="00B8485C"/>
    <w:rsid w:val="00B94747"/>
    <w:rsid w:val="00BC5250"/>
    <w:rsid w:val="00C25D4B"/>
    <w:rsid w:val="00C32B6A"/>
    <w:rsid w:val="00C434B8"/>
    <w:rsid w:val="00C453CC"/>
    <w:rsid w:val="00C529DC"/>
    <w:rsid w:val="00C72B4F"/>
    <w:rsid w:val="00C94F3C"/>
    <w:rsid w:val="00CE0620"/>
    <w:rsid w:val="00CF58F3"/>
    <w:rsid w:val="00CF7D89"/>
    <w:rsid w:val="00D2794A"/>
    <w:rsid w:val="00D40860"/>
    <w:rsid w:val="00D40D7B"/>
    <w:rsid w:val="00D46F4A"/>
    <w:rsid w:val="00D73667"/>
    <w:rsid w:val="00D80182"/>
    <w:rsid w:val="00DB4FE9"/>
    <w:rsid w:val="00DC1279"/>
    <w:rsid w:val="00DC641A"/>
    <w:rsid w:val="00DC653E"/>
    <w:rsid w:val="00DD1D09"/>
    <w:rsid w:val="00DF4121"/>
    <w:rsid w:val="00DF4C6F"/>
    <w:rsid w:val="00DF61F5"/>
    <w:rsid w:val="00E0469A"/>
    <w:rsid w:val="00E639C4"/>
    <w:rsid w:val="00E70A30"/>
    <w:rsid w:val="00E81FF6"/>
    <w:rsid w:val="00E91D88"/>
    <w:rsid w:val="00EB73EF"/>
    <w:rsid w:val="00EC1F61"/>
    <w:rsid w:val="00EE46D6"/>
    <w:rsid w:val="00EF1053"/>
    <w:rsid w:val="00EF141B"/>
    <w:rsid w:val="00EF39FB"/>
    <w:rsid w:val="00EF4209"/>
    <w:rsid w:val="00F05070"/>
    <w:rsid w:val="00F42B49"/>
    <w:rsid w:val="00F45ABB"/>
    <w:rsid w:val="00F56C09"/>
    <w:rsid w:val="00F96E90"/>
    <w:rsid w:val="00F977EB"/>
    <w:rsid w:val="00FA0D9B"/>
    <w:rsid w:val="00FA39FB"/>
    <w:rsid w:val="00FC58AB"/>
    <w:rsid w:val="00FE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0051"/>
  <w15:chartTrackingRefBased/>
  <w15:docId w15:val="{ED324DA5-4CDE-4460-9239-1B0FCEF7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C75"/>
    <w:rPr>
      <w:color w:val="0563C1" w:themeColor="hyperlink"/>
      <w:u w:val="single"/>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Dot p"/>
    <w:basedOn w:val="Normal"/>
    <w:link w:val="ListParagraphChar"/>
    <w:uiPriority w:val="34"/>
    <w:qFormat/>
    <w:rsid w:val="00AD0144"/>
    <w:pPr>
      <w:ind w:left="720"/>
      <w:contextualSpacing/>
    </w:pPr>
  </w:style>
  <w:style w:type="paragraph" w:styleId="BalloonText">
    <w:name w:val="Balloon Text"/>
    <w:basedOn w:val="Normal"/>
    <w:link w:val="BalloonTextChar"/>
    <w:uiPriority w:val="99"/>
    <w:semiHidden/>
    <w:unhideWhenUsed/>
    <w:rsid w:val="00231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005"/>
    <w:rPr>
      <w:rFonts w:ascii="Segoe UI" w:hAnsi="Segoe UI" w:cs="Segoe UI"/>
      <w:sz w:val="18"/>
      <w:szCs w:val="18"/>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qFormat/>
    <w:locked/>
    <w:rsid w:val="005F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DB44B-A709-4D46-9906-3FC1ED68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Averil Louise Besier</cp:lastModifiedBy>
  <cp:revision>2</cp:revision>
  <dcterms:created xsi:type="dcterms:W3CDTF">2022-01-21T02:33:00Z</dcterms:created>
  <dcterms:modified xsi:type="dcterms:W3CDTF">2022-01-21T02:33:00Z</dcterms:modified>
</cp:coreProperties>
</file>