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9BF0" w14:textId="77777777" w:rsidR="0060750E" w:rsidRDefault="00B67B3C" w:rsidP="003A1779">
      <w:pPr>
        <w:jc w:val="center"/>
        <w:rPr>
          <w:rFonts w:ascii="Times New Roman" w:hAnsi="Times New Roman" w:cs="Times New Roman"/>
          <w:b/>
        </w:rPr>
      </w:pPr>
      <w:r w:rsidRPr="00B67B3C">
        <w:rPr>
          <w:rFonts w:ascii="Times New Roman" w:hAnsi="Times New Roman" w:cs="Times New Roman"/>
          <w:b/>
        </w:rPr>
        <w:t xml:space="preserve">Eligibility Criteria and Guidelines for Accessing </w:t>
      </w:r>
    </w:p>
    <w:p w14:paraId="3CB34EB5" w14:textId="77777777" w:rsidR="00574EB0" w:rsidRPr="00B67B3C" w:rsidRDefault="00B67B3C" w:rsidP="003A1779">
      <w:pPr>
        <w:jc w:val="center"/>
        <w:rPr>
          <w:rFonts w:ascii="Times New Roman" w:hAnsi="Times New Roman" w:cs="Times New Roman"/>
          <w:b/>
        </w:rPr>
      </w:pPr>
      <w:proofErr w:type="gramStart"/>
      <w:r w:rsidRPr="00B67B3C">
        <w:rPr>
          <w:rFonts w:ascii="Times New Roman" w:hAnsi="Times New Roman" w:cs="Times New Roman"/>
          <w:b/>
        </w:rPr>
        <w:t>the</w:t>
      </w:r>
      <w:proofErr w:type="gramEnd"/>
      <w:r w:rsidRPr="00B67B3C">
        <w:rPr>
          <w:rFonts w:ascii="Times New Roman" w:hAnsi="Times New Roman" w:cs="Times New Roman"/>
          <w:b/>
        </w:rPr>
        <w:t xml:space="preserve"> AP</w:t>
      </w:r>
      <w:r w:rsidR="002406DD">
        <w:rPr>
          <w:rFonts w:ascii="Times New Roman" w:hAnsi="Times New Roman" w:cs="Times New Roman"/>
          <w:b/>
        </w:rPr>
        <w:t xml:space="preserve">EC Support Fund Sub-fund for </w:t>
      </w:r>
      <w:r w:rsidR="0010621D">
        <w:rPr>
          <w:rFonts w:ascii="Times New Roman" w:hAnsi="Times New Roman" w:cs="Times New Roman"/>
          <w:b/>
        </w:rPr>
        <w:t>Strengthening Economic Legal Infrastructure</w:t>
      </w:r>
      <w:r w:rsidR="0060750E">
        <w:rPr>
          <w:rFonts w:ascii="Times New Roman" w:hAnsi="Times New Roman" w:cs="Times New Roman"/>
          <w:b/>
        </w:rPr>
        <w:t xml:space="preserve"> (SELI Sub-fund)</w:t>
      </w:r>
    </w:p>
    <w:p w14:paraId="22B84EFF" w14:textId="77777777" w:rsidR="00B8797E" w:rsidRDefault="00B8797E" w:rsidP="003A1779">
      <w:pPr>
        <w:jc w:val="both"/>
        <w:rPr>
          <w:rFonts w:ascii="Times New Roman" w:hAnsi="Times New Roman" w:cs="Times New Roman"/>
        </w:rPr>
      </w:pPr>
      <w:bookmarkStart w:id="0" w:name="_GoBack"/>
      <w:bookmarkEnd w:id="0"/>
    </w:p>
    <w:p w14:paraId="13BB55D8" w14:textId="77777777" w:rsidR="00E71A27" w:rsidRPr="001C4DF2" w:rsidRDefault="00E94599" w:rsidP="00E71A27">
      <w:pPr>
        <w:jc w:val="both"/>
        <w:rPr>
          <w:rFonts w:ascii="Times New Roman" w:hAnsi="Times New Roman" w:cs="Times New Roman"/>
          <w:b/>
        </w:rPr>
      </w:pPr>
      <w:r>
        <w:rPr>
          <w:rFonts w:ascii="Times New Roman" w:hAnsi="Times New Roman" w:cs="Times New Roman"/>
          <w:b/>
        </w:rPr>
        <w:t>Objectives</w:t>
      </w:r>
    </w:p>
    <w:p w14:paraId="14D904B5" w14:textId="77777777" w:rsidR="00E71A27" w:rsidRDefault="00E71A27" w:rsidP="00E71A27">
      <w:pPr>
        <w:jc w:val="both"/>
        <w:rPr>
          <w:rFonts w:ascii="Times New Roman" w:hAnsi="Times New Roman" w:cs="Times New Roman"/>
        </w:rPr>
      </w:pPr>
    </w:p>
    <w:p w14:paraId="649640EF" w14:textId="77777777" w:rsidR="00E71A27" w:rsidRPr="00E7629F" w:rsidRDefault="00E71A27" w:rsidP="00E71A27">
      <w:pPr>
        <w:jc w:val="both"/>
        <w:rPr>
          <w:rFonts w:ascii="Times New Roman" w:hAnsi="Times New Roman" w:cs="Times New Roman"/>
          <w:i/>
        </w:rPr>
      </w:pPr>
      <w:proofErr w:type="gramStart"/>
      <w:r>
        <w:rPr>
          <w:rFonts w:ascii="Times New Roman" w:hAnsi="Times New Roman" w:cs="Times New Roman"/>
        </w:rPr>
        <w:t xml:space="preserve">The SELI Sub-fund </w:t>
      </w:r>
      <w:r w:rsidR="00094BD2">
        <w:rPr>
          <w:rFonts w:ascii="Times New Roman" w:hAnsi="Times New Roman" w:cs="Times New Roman"/>
        </w:rPr>
        <w:t>aims</w:t>
      </w:r>
      <w:r>
        <w:rPr>
          <w:rFonts w:ascii="Times New Roman" w:hAnsi="Times New Roman" w:cs="Times New Roman"/>
        </w:rPr>
        <w:t xml:space="preserve"> to provide funding for capacity building to assist APEC economies in assessing and implementing structural reform in relation to their economic legal infrastructure, which may include raising awareness of the role and importance of legal infrastructure for economic development in APEC economies;  enhancing understanding of relevant international standards and international instruments useful for the strengthening of the economic legal infrastructure of member economies; and other forms of capacity building in the relevant fields.</w:t>
      </w:r>
      <w:proofErr w:type="gramEnd"/>
      <w:r>
        <w:rPr>
          <w:rFonts w:ascii="Times New Roman" w:hAnsi="Times New Roman" w:cs="Times New Roman"/>
        </w:rPr>
        <w:t xml:space="preserve"> </w:t>
      </w:r>
      <w:proofErr w:type="gramStart"/>
      <w:r>
        <w:rPr>
          <w:rFonts w:ascii="Times New Roman" w:hAnsi="Times New Roman" w:cs="Times New Roman"/>
        </w:rPr>
        <w:t xml:space="preserve">The SELI Sub-fund may also provide funding for the facilitation and implementation of </w:t>
      </w:r>
      <w:r w:rsidR="00094BD2">
        <w:rPr>
          <w:rFonts w:ascii="Times New Roman" w:hAnsi="Times New Roman" w:cs="Times New Roman"/>
        </w:rPr>
        <w:t xml:space="preserve">relevant </w:t>
      </w:r>
      <w:r>
        <w:rPr>
          <w:rFonts w:ascii="Times New Roman" w:hAnsi="Times New Roman" w:cs="Times New Roman"/>
        </w:rPr>
        <w:t>work plans, action plans, initiatives or policy discussions</w:t>
      </w:r>
      <w:r w:rsidR="00094BD2">
        <w:rPr>
          <w:rFonts w:ascii="Times New Roman" w:hAnsi="Times New Roman" w:cs="Times New Roman"/>
        </w:rPr>
        <w:t xml:space="preserve"> endorsed by E</w:t>
      </w:r>
      <w:r w:rsidR="00ED2C5F">
        <w:rPr>
          <w:rFonts w:ascii="Times New Roman" w:hAnsi="Times New Roman" w:cs="Times New Roman"/>
        </w:rPr>
        <w:t xml:space="preserve">conomic </w:t>
      </w:r>
      <w:r w:rsidR="00094BD2">
        <w:rPr>
          <w:rFonts w:ascii="Times New Roman" w:hAnsi="Times New Roman" w:cs="Times New Roman"/>
        </w:rPr>
        <w:t>C</w:t>
      </w:r>
      <w:r w:rsidR="00ED2C5F">
        <w:rPr>
          <w:rFonts w:ascii="Times New Roman" w:hAnsi="Times New Roman" w:cs="Times New Roman"/>
        </w:rPr>
        <w:t>ommittee (EC)</w:t>
      </w:r>
      <w:r>
        <w:rPr>
          <w:rFonts w:ascii="Times New Roman" w:hAnsi="Times New Roman" w:cs="Times New Roman"/>
        </w:rPr>
        <w:t>, such as the Work Plan on APEC-wide cooperative online dispute resolution framework for micro-, small- and medium enterprises in business-to-business transactions and use of modern technology for dispute resolution and electronic agreement management (SELI ODR Work Plan).</w:t>
      </w:r>
      <w:proofErr w:type="gramEnd"/>
      <w:r w:rsidR="00FE7B48">
        <w:rPr>
          <w:rFonts w:ascii="Times New Roman" w:hAnsi="Times New Roman" w:cs="Times New Roman"/>
        </w:rPr>
        <w:t xml:space="preserve">  </w:t>
      </w:r>
    </w:p>
    <w:p w14:paraId="7345FEF7" w14:textId="77777777" w:rsidR="00E94599" w:rsidRDefault="00E94599" w:rsidP="00E71A27">
      <w:pPr>
        <w:jc w:val="both"/>
        <w:rPr>
          <w:rFonts w:ascii="Times New Roman" w:hAnsi="Times New Roman" w:cs="Times New Roman"/>
        </w:rPr>
      </w:pPr>
    </w:p>
    <w:p w14:paraId="5F534A61" w14:textId="77777777" w:rsidR="00E94599" w:rsidRDefault="00E94599" w:rsidP="00E94599">
      <w:pPr>
        <w:jc w:val="both"/>
        <w:rPr>
          <w:rFonts w:ascii="Times New Roman" w:hAnsi="Times New Roman" w:cs="Times New Roman"/>
        </w:rPr>
      </w:pPr>
      <w:r>
        <w:rPr>
          <w:rFonts w:ascii="Times New Roman" w:hAnsi="Times New Roman" w:cs="Times New Roman"/>
        </w:rPr>
        <w:t xml:space="preserve">In view of the </w:t>
      </w:r>
      <w:r w:rsidRPr="00E7629F">
        <w:rPr>
          <w:rFonts w:ascii="Times New Roman" w:hAnsi="Times New Roman" w:cs="Times New Roman"/>
        </w:rPr>
        <w:t xml:space="preserve">above, the SELI Sub-fund will provide funding for implementation of the following </w:t>
      </w:r>
      <w:r w:rsidRPr="00E7629F">
        <w:rPr>
          <w:rFonts w:ascii="Times New Roman" w:hAnsi="Times New Roman" w:cs="Times New Roman"/>
          <w:b/>
        </w:rPr>
        <w:t>objectives</w:t>
      </w:r>
      <w:r w:rsidRPr="00E7629F">
        <w:rPr>
          <w:rFonts w:ascii="Times New Roman" w:hAnsi="Times New Roman" w:cs="Times New Roman"/>
        </w:rPr>
        <w:t>:</w:t>
      </w:r>
    </w:p>
    <w:p w14:paraId="195966CC" w14:textId="77777777" w:rsidR="00B8797E" w:rsidRDefault="00B8797E" w:rsidP="00E94599">
      <w:pPr>
        <w:jc w:val="both"/>
        <w:rPr>
          <w:rFonts w:ascii="Times New Roman" w:hAnsi="Times New Roman" w:cs="Times New Roman"/>
        </w:rPr>
      </w:pPr>
    </w:p>
    <w:p w14:paraId="15C967BE" w14:textId="77777777" w:rsidR="00E94599" w:rsidRDefault="00E94599" w:rsidP="003E2368">
      <w:pPr>
        <w:pStyle w:val="ListParagraph"/>
        <w:numPr>
          <w:ilvl w:val="0"/>
          <w:numId w:val="5"/>
        </w:numPr>
        <w:spacing w:after="120"/>
        <w:ind w:leftChars="0" w:left="806"/>
        <w:jc w:val="both"/>
        <w:rPr>
          <w:rFonts w:ascii="Times New Roman" w:hAnsi="Times New Roman" w:cs="Times New Roman"/>
        </w:rPr>
      </w:pPr>
      <w:r>
        <w:rPr>
          <w:rFonts w:ascii="Times New Roman" w:hAnsi="Times New Roman" w:cs="Times New Roman"/>
        </w:rPr>
        <w:t>to facilitate exchange of information on legal infrastructure relevant to economic development, including sharing of law and practice in relevant fields;</w:t>
      </w:r>
    </w:p>
    <w:p w14:paraId="6A9DB060" w14:textId="77777777" w:rsidR="00E94599" w:rsidRDefault="00E94599" w:rsidP="003E2368">
      <w:pPr>
        <w:pStyle w:val="ListParagraph"/>
        <w:numPr>
          <w:ilvl w:val="0"/>
          <w:numId w:val="5"/>
        </w:numPr>
        <w:spacing w:after="120"/>
        <w:ind w:leftChars="0" w:left="806"/>
        <w:jc w:val="both"/>
        <w:rPr>
          <w:rFonts w:ascii="Times New Roman" w:hAnsi="Times New Roman" w:cs="Times New Roman"/>
        </w:rPr>
      </w:pPr>
      <w:r>
        <w:rPr>
          <w:rFonts w:ascii="Times New Roman" w:hAnsi="Times New Roman" w:cs="Times New Roman"/>
        </w:rPr>
        <w:t>to develop and enhance in-depth understanding of international economic law including relevant international standards and instruments;</w:t>
      </w:r>
    </w:p>
    <w:p w14:paraId="3E84303C" w14:textId="77777777" w:rsidR="00E94599" w:rsidRDefault="00E94599" w:rsidP="003E2368">
      <w:pPr>
        <w:pStyle w:val="ListParagraph"/>
        <w:numPr>
          <w:ilvl w:val="0"/>
          <w:numId w:val="5"/>
        </w:numPr>
        <w:spacing w:after="120"/>
        <w:ind w:leftChars="0" w:left="806"/>
        <w:jc w:val="both"/>
        <w:rPr>
          <w:rFonts w:ascii="Times New Roman" w:hAnsi="Times New Roman" w:cs="Times New Roman"/>
        </w:rPr>
      </w:pPr>
      <w:r>
        <w:rPr>
          <w:rFonts w:ascii="Times New Roman" w:hAnsi="Times New Roman" w:cs="Times New Roman"/>
        </w:rPr>
        <w:t>to share experiences and expertise on activities relevant to the implementation of these international standards and instruments and to develop good practice guides in specific legal areas;</w:t>
      </w:r>
    </w:p>
    <w:p w14:paraId="703B5412" w14:textId="77777777" w:rsidR="00E94599" w:rsidRDefault="00E94599" w:rsidP="003E2368">
      <w:pPr>
        <w:pStyle w:val="ListParagraph"/>
        <w:numPr>
          <w:ilvl w:val="0"/>
          <w:numId w:val="5"/>
        </w:numPr>
        <w:spacing w:after="120"/>
        <w:ind w:leftChars="0" w:left="806"/>
        <w:jc w:val="both"/>
        <w:rPr>
          <w:rFonts w:ascii="Times New Roman" w:hAnsi="Times New Roman" w:cs="Times New Roman"/>
        </w:rPr>
      </w:pPr>
      <w:r>
        <w:rPr>
          <w:rFonts w:ascii="Times New Roman" w:hAnsi="Times New Roman" w:cs="Times New Roman"/>
        </w:rPr>
        <w:t>to identify areas for, and engage in, capacity building and technical cooperation for the strengthening of economic legal infrastructure;</w:t>
      </w:r>
    </w:p>
    <w:p w14:paraId="2F15346C" w14:textId="77777777" w:rsidR="00E94599" w:rsidRDefault="00E94599" w:rsidP="003E2368">
      <w:pPr>
        <w:pStyle w:val="ListParagraph"/>
        <w:numPr>
          <w:ilvl w:val="0"/>
          <w:numId w:val="5"/>
        </w:numPr>
        <w:spacing w:after="120"/>
        <w:ind w:leftChars="0" w:left="806"/>
        <w:jc w:val="both"/>
        <w:rPr>
          <w:rFonts w:ascii="Times New Roman" w:hAnsi="Times New Roman" w:cs="Times New Roman"/>
        </w:rPr>
      </w:pPr>
      <w:r>
        <w:rPr>
          <w:rFonts w:ascii="Times New Roman" w:hAnsi="Times New Roman" w:cs="Times New Roman"/>
        </w:rPr>
        <w:t>to examine and promote the importance of legal infrastructure on trade and investment flow; and</w:t>
      </w:r>
    </w:p>
    <w:p w14:paraId="5B88CCB4" w14:textId="77777777" w:rsidR="00E71A27" w:rsidRDefault="00E94599" w:rsidP="003E2368">
      <w:pPr>
        <w:pStyle w:val="ListParagraph"/>
        <w:numPr>
          <w:ilvl w:val="0"/>
          <w:numId w:val="5"/>
        </w:numPr>
        <w:ind w:leftChars="0" w:left="810"/>
        <w:jc w:val="both"/>
        <w:rPr>
          <w:rFonts w:ascii="Times New Roman" w:hAnsi="Times New Roman" w:cs="Times New Roman"/>
        </w:rPr>
      </w:pPr>
      <w:proofErr w:type="gramStart"/>
      <w:r w:rsidRPr="00B8797E">
        <w:rPr>
          <w:rFonts w:ascii="Times New Roman" w:hAnsi="Times New Roman" w:cs="Times New Roman"/>
        </w:rPr>
        <w:t>to</w:t>
      </w:r>
      <w:proofErr w:type="gramEnd"/>
      <w:r w:rsidRPr="00B8797E">
        <w:rPr>
          <w:rFonts w:ascii="Times New Roman" w:hAnsi="Times New Roman" w:cs="Times New Roman"/>
        </w:rPr>
        <w:t xml:space="preserve"> develop and review appropriate action plans relevant to the work endorsed by EC, such as the SELI ODR Work Plan.</w:t>
      </w:r>
    </w:p>
    <w:p w14:paraId="4B176E4B" w14:textId="77777777" w:rsidR="003229EA" w:rsidRDefault="003229EA" w:rsidP="00B8797E">
      <w:pPr>
        <w:widowControl/>
        <w:rPr>
          <w:rFonts w:ascii="Times New Roman" w:hAnsi="Times New Roman" w:cs="Times New Roman"/>
          <w:b/>
        </w:rPr>
      </w:pPr>
    </w:p>
    <w:p w14:paraId="2A21FB72" w14:textId="4E5918C0" w:rsidR="00E71A27" w:rsidRPr="00E7629F" w:rsidRDefault="00E71A27" w:rsidP="00B8797E">
      <w:pPr>
        <w:widowControl/>
        <w:rPr>
          <w:rFonts w:ascii="Times New Roman" w:hAnsi="Times New Roman" w:cs="Times New Roman"/>
          <w:b/>
        </w:rPr>
      </w:pPr>
      <w:r>
        <w:rPr>
          <w:rFonts w:ascii="Times New Roman" w:hAnsi="Times New Roman" w:cs="Times New Roman"/>
          <w:b/>
        </w:rPr>
        <w:t>Eligibility Criteria</w:t>
      </w:r>
    </w:p>
    <w:p w14:paraId="74B80706" w14:textId="77777777" w:rsidR="00E71A27" w:rsidRDefault="00E71A27" w:rsidP="003A1779">
      <w:pPr>
        <w:jc w:val="both"/>
        <w:rPr>
          <w:rFonts w:ascii="Times New Roman" w:hAnsi="Times New Roman" w:cs="Times New Roman"/>
        </w:rPr>
      </w:pPr>
    </w:p>
    <w:p w14:paraId="52F25D60" w14:textId="77777777" w:rsidR="00F44F21" w:rsidRDefault="005E6877" w:rsidP="003A1779">
      <w:pPr>
        <w:jc w:val="both"/>
        <w:rPr>
          <w:rFonts w:ascii="Times New Roman" w:hAnsi="Times New Roman" w:cs="Times New Roman"/>
        </w:rPr>
      </w:pPr>
      <w:r>
        <w:rPr>
          <w:rFonts w:ascii="Times New Roman" w:hAnsi="Times New Roman" w:cs="Times New Roman" w:hint="eastAsia"/>
        </w:rPr>
        <w:t xml:space="preserve">Operating within any APEC </w:t>
      </w:r>
      <w:r>
        <w:rPr>
          <w:rFonts w:ascii="Times New Roman" w:hAnsi="Times New Roman" w:cs="Times New Roman"/>
        </w:rPr>
        <w:t>fora, economies may submit Concept Notes (CNs) that meet the scope and eligibility criteria of the SELI Sub-fund.</w:t>
      </w:r>
    </w:p>
    <w:p w14:paraId="36F510CE" w14:textId="77777777" w:rsidR="005E6877" w:rsidRPr="004B2EA8" w:rsidRDefault="005E6877" w:rsidP="003A1779">
      <w:pPr>
        <w:jc w:val="both"/>
        <w:rPr>
          <w:rFonts w:ascii="Times New Roman" w:hAnsi="Times New Roman" w:cs="Times New Roman"/>
        </w:rPr>
      </w:pPr>
    </w:p>
    <w:p w14:paraId="2734A5C2" w14:textId="42AC40F4" w:rsidR="003D132A" w:rsidRDefault="005E6877" w:rsidP="005E6877">
      <w:pPr>
        <w:jc w:val="both"/>
        <w:rPr>
          <w:rFonts w:ascii="Times New Roman" w:hAnsi="Times New Roman" w:cs="Times New Roman"/>
        </w:rPr>
      </w:pPr>
      <w:r>
        <w:rPr>
          <w:rFonts w:ascii="Times New Roman" w:hAnsi="Times New Roman" w:cs="Times New Roman"/>
        </w:rPr>
        <w:t xml:space="preserve">To </w:t>
      </w:r>
      <w:proofErr w:type="gramStart"/>
      <w:r>
        <w:rPr>
          <w:rFonts w:ascii="Times New Roman" w:hAnsi="Times New Roman" w:cs="Times New Roman"/>
        </w:rPr>
        <w:t>be considered</w:t>
      </w:r>
      <w:proofErr w:type="gramEnd"/>
      <w:r>
        <w:rPr>
          <w:rFonts w:ascii="Times New Roman" w:hAnsi="Times New Roman" w:cs="Times New Roman"/>
        </w:rPr>
        <w:t xml:space="preserve"> eligible for the SELI Sub-fund, CNs must</w:t>
      </w:r>
      <w:r w:rsidR="008D1314">
        <w:rPr>
          <w:rFonts w:ascii="Times New Roman" w:hAnsi="Times New Roman" w:cs="Times New Roman"/>
        </w:rPr>
        <w:t>:</w:t>
      </w:r>
      <w:r>
        <w:rPr>
          <w:rFonts w:ascii="Times New Roman" w:hAnsi="Times New Roman" w:cs="Times New Roman"/>
        </w:rPr>
        <w:t xml:space="preserve"> </w:t>
      </w:r>
    </w:p>
    <w:p w14:paraId="78AC5C5F" w14:textId="527BF0D4" w:rsidR="008D1314" w:rsidRPr="00772631" w:rsidRDefault="005E6877" w:rsidP="003D132A">
      <w:pPr>
        <w:pStyle w:val="ListParagraph"/>
        <w:numPr>
          <w:ilvl w:val="0"/>
          <w:numId w:val="4"/>
        </w:numPr>
        <w:spacing w:before="240" w:after="120"/>
        <w:ind w:leftChars="0" w:hanging="274"/>
        <w:jc w:val="both"/>
        <w:rPr>
          <w:rFonts w:ascii="Times New Roman" w:hAnsi="Times New Roman" w:cs="Times New Roman"/>
        </w:rPr>
      </w:pPr>
      <w:r w:rsidRPr="00772631">
        <w:rPr>
          <w:rFonts w:ascii="Times New Roman" w:hAnsi="Times New Roman" w:cs="Times New Roman"/>
        </w:rPr>
        <w:t>describe projects that support the strengthening of economic and legal infrastructure in APEC economies</w:t>
      </w:r>
      <w:r w:rsidR="008D1314" w:rsidRPr="00772631">
        <w:rPr>
          <w:rFonts w:ascii="Times New Roman" w:hAnsi="Times New Roman" w:cs="Times New Roman"/>
        </w:rPr>
        <w:t>;</w:t>
      </w:r>
      <w:r w:rsidR="00CA74AD">
        <w:rPr>
          <w:rFonts w:ascii="Times New Roman" w:hAnsi="Times New Roman" w:cs="Times New Roman"/>
        </w:rPr>
        <w:t xml:space="preserve"> and</w:t>
      </w:r>
    </w:p>
    <w:p w14:paraId="040A1813" w14:textId="2D35DE04" w:rsidR="008D1314" w:rsidRPr="00772631" w:rsidRDefault="005E6877" w:rsidP="00ED2C5F">
      <w:pPr>
        <w:pStyle w:val="ListParagraph"/>
        <w:numPr>
          <w:ilvl w:val="0"/>
          <w:numId w:val="4"/>
        </w:numPr>
        <w:ind w:leftChars="0" w:hanging="270"/>
        <w:jc w:val="both"/>
        <w:rPr>
          <w:rFonts w:ascii="Times New Roman" w:hAnsi="Times New Roman" w:cs="Times New Roman"/>
        </w:rPr>
      </w:pPr>
      <w:proofErr w:type="gramStart"/>
      <w:r w:rsidRPr="00772631">
        <w:rPr>
          <w:rFonts w:ascii="Times New Roman" w:hAnsi="Times New Roman" w:cs="Times New Roman"/>
        </w:rPr>
        <w:t>include</w:t>
      </w:r>
      <w:proofErr w:type="gramEnd"/>
      <w:r w:rsidRPr="00772631">
        <w:rPr>
          <w:rFonts w:ascii="Times New Roman" w:hAnsi="Times New Roman" w:cs="Times New Roman"/>
        </w:rPr>
        <w:t xml:space="preserve"> an explanation of </w:t>
      </w:r>
      <w:r w:rsidR="00B178FE" w:rsidRPr="00772631">
        <w:rPr>
          <w:rFonts w:ascii="Times New Roman" w:hAnsi="Times New Roman" w:cs="Times New Roman"/>
        </w:rPr>
        <w:t>how the proposed project would</w:t>
      </w:r>
      <w:r w:rsidRPr="00772631">
        <w:rPr>
          <w:rFonts w:ascii="Times New Roman" w:hAnsi="Times New Roman" w:cs="Times New Roman"/>
        </w:rPr>
        <w:t xml:space="preserve"> advance</w:t>
      </w:r>
      <w:r w:rsidR="00CA74AD">
        <w:rPr>
          <w:rFonts w:ascii="Times New Roman" w:hAnsi="Times New Roman" w:cs="Times New Roman"/>
        </w:rPr>
        <w:t xml:space="preserve"> one or more of</w:t>
      </w:r>
      <w:r w:rsidRPr="00772631">
        <w:rPr>
          <w:rFonts w:ascii="Times New Roman" w:hAnsi="Times New Roman" w:cs="Times New Roman"/>
        </w:rPr>
        <w:t xml:space="preserve"> the objectives </w:t>
      </w:r>
      <w:r w:rsidR="0050761D" w:rsidRPr="00772631">
        <w:rPr>
          <w:rFonts w:ascii="Times New Roman" w:hAnsi="Times New Roman" w:cs="Times New Roman"/>
        </w:rPr>
        <w:t>of the SELI Sub-fund</w:t>
      </w:r>
      <w:r w:rsidR="00CA74AD">
        <w:rPr>
          <w:rFonts w:ascii="Times New Roman" w:hAnsi="Times New Roman" w:cs="Times New Roman"/>
        </w:rPr>
        <w:t>, as well as any</w:t>
      </w:r>
      <w:r w:rsidRPr="00772631">
        <w:rPr>
          <w:rFonts w:ascii="Times New Roman" w:hAnsi="Times New Roman" w:cs="Times New Roman"/>
        </w:rPr>
        <w:t xml:space="preserve"> </w:t>
      </w:r>
      <w:r w:rsidR="00094BD2" w:rsidRPr="00772631">
        <w:rPr>
          <w:rFonts w:ascii="Times New Roman" w:hAnsi="Times New Roman" w:cs="Times New Roman"/>
        </w:rPr>
        <w:t xml:space="preserve">relevant </w:t>
      </w:r>
      <w:r w:rsidR="00B178FE" w:rsidRPr="00772631">
        <w:rPr>
          <w:rFonts w:ascii="Times New Roman" w:hAnsi="Times New Roman" w:cs="Times New Roman"/>
        </w:rPr>
        <w:t>work plans,</w:t>
      </w:r>
      <w:r w:rsidRPr="00772631">
        <w:rPr>
          <w:rFonts w:ascii="Times New Roman" w:hAnsi="Times New Roman" w:cs="Times New Roman"/>
        </w:rPr>
        <w:t xml:space="preserve"> </w:t>
      </w:r>
      <w:r w:rsidR="0052482A" w:rsidRPr="00772631">
        <w:rPr>
          <w:rFonts w:ascii="Times New Roman" w:hAnsi="Times New Roman" w:cs="Times New Roman"/>
        </w:rPr>
        <w:t xml:space="preserve">action plans, </w:t>
      </w:r>
      <w:r w:rsidRPr="00772631">
        <w:rPr>
          <w:rFonts w:ascii="Times New Roman" w:hAnsi="Times New Roman" w:cs="Times New Roman"/>
        </w:rPr>
        <w:t>initiatives or policy discussions, endorsed by</w:t>
      </w:r>
      <w:r w:rsidR="00094BD2" w:rsidRPr="00772631">
        <w:rPr>
          <w:rFonts w:ascii="Times New Roman" w:hAnsi="Times New Roman" w:cs="Times New Roman"/>
        </w:rPr>
        <w:t xml:space="preserve"> EC </w:t>
      </w:r>
      <w:r w:rsidRPr="00772631">
        <w:rPr>
          <w:rFonts w:ascii="Times New Roman" w:hAnsi="Times New Roman" w:cs="Times New Roman"/>
        </w:rPr>
        <w:t xml:space="preserve">such as the SELI ODR Work Plan. </w:t>
      </w:r>
    </w:p>
    <w:p w14:paraId="124A3E9D" w14:textId="77777777" w:rsidR="008D1314" w:rsidRDefault="008D1314" w:rsidP="005E6877">
      <w:pPr>
        <w:jc w:val="both"/>
        <w:rPr>
          <w:rFonts w:ascii="Times New Roman" w:hAnsi="Times New Roman" w:cs="Times New Roman"/>
        </w:rPr>
      </w:pPr>
    </w:p>
    <w:p w14:paraId="4550B8DE" w14:textId="77777777" w:rsidR="005E6877" w:rsidRDefault="005E6877" w:rsidP="005E6877">
      <w:pPr>
        <w:jc w:val="both"/>
        <w:rPr>
          <w:rFonts w:ascii="Times New Roman" w:hAnsi="Times New Roman" w:cs="Times New Roman"/>
        </w:rPr>
      </w:pPr>
      <w:r>
        <w:rPr>
          <w:rFonts w:ascii="Times New Roman" w:hAnsi="Times New Roman" w:cs="Times New Roman"/>
        </w:rPr>
        <w:t>Proposed projects may primarily benefit a single economy, but should have implications for APEC members more broadly.</w:t>
      </w:r>
    </w:p>
    <w:p w14:paraId="44D10074" w14:textId="77777777" w:rsidR="005E6877" w:rsidRDefault="005E6877" w:rsidP="003A1779">
      <w:pPr>
        <w:jc w:val="both"/>
        <w:rPr>
          <w:rFonts w:ascii="Times New Roman" w:hAnsi="Times New Roman" w:cs="Times New Roman"/>
        </w:rPr>
      </w:pPr>
    </w:p>
    <w:p w14:paraId="210B39E2" w14:textId="77777777" w:rsidR="00E626CC" w:rsidRDefault="00E626CC" w:rsidP="00E626CC">
      <w:pPr>
        <w:widowControl/>
        <w:spacing w:after="160" w:line="256" w:lineRule="auto"/>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In developing CNs</w:t>
      </w:r>
      <w:r w:rsidR="00733DD4">
        <w:rPr>
          <w:rFonts w:ascii="Times New Roman" w:eastAsia="Calibri" w:hAnsi="Times New Roman" w:cs="Times New Roman"/>
          <w:color w:val="000000"/>
          <w:szCs w:val="24"/>
        </w:rPr>
        <w:t xml:space="preserve"> and related Project Proposals</w:t>
      </w:r>
      <w:r>
        <w:rPr>
          <w:rFonts w:ascii="Times New Roman" w:eastAsia="Calibri" w:hAnsi="Times New Roman" w:cs="Times New Roman"/>
          <w:color w:val="000000"/>
          <w:szCs w:val="24"/>
        </w:rPr>
        <w:t>,</w:t>
      </w:r>
      <w:r w:rsidR="00733DD4">
        <w:rPr>
          <w:rFonts w:ascii="Times New Roman" w:eastAsia="Calibri" w:hAnsi="Times New Roman" w:cs="Times New Roman"/>
          <w:color w:val="000000"/>
          <w:szCs w:val="24"/>
        </w:rPr>
        <w:t xml:space="preserve"> as approved,</w:t>
      </w:r>
      <w:r>
        <w:rPr>
          <w:rFonts w:ascii="Times New Roman" w:eastAsia="Calibri" w:hAnsi="Times New Roman" w:cs="Times New Roman"/>
          <w:color w:val="000000"/>
          <w:szCs w:val="24"/>
        </w:rPr>
        <w:t xml:space="preserve"> economies should also: </w:t>
      </w:r>
    </w:p>
    <w:p w14:paraId="5A5D7A2C" w14:textId="257961C1" w:rsidR="00CA74AD" w:rsidRDefault="00C86551" w:rsidP="00ED2C5F">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Pr>
          <w:rFonts w:ascii="Times New Roman" w:eastAsia="Calibri" w:hAnsi="Times New Roman" w:cs="Times New Roman"/>
          <w:color w:val="000000"/>
          <w:szCs w:val="24"/>
          <w:lang w:eastAsia="en-AU"/>
        </w:rPr>
        <w:t xml:space="preserve">consider </w:t>
      </w:r>
      <w:r w:rsidR="00E626CC" w:rsidRPr="008E7D78">
        <w:rPr>
          <w:rFonts w:ascii="Times New Roman" w:eastAsia="Calibri" w:hAnsi="Times New Roman" w:cs="Times New Roman"/>
          <w:color w:val="000000"/>
          <w:szCs w:val="24"/>
          <w:lang w:eastAsia="en-AU"/>
        </w:rPr>
        <w:t xml:space="preserve">how the proposed initiative is relevant to women, and how it will include and benefit women (refer to APEC’s Gender Inclusion Guidelines </w:t>
      </w:r>
      <w:hyperlink r:id="rId7" w:history="1">
        <w:r w:rsidR="00E626CC" w:rsidRPr="008E7D78">
          <w:rPr>
            <w:rFonts w:ascii="Times New Roman" w:eastAsia="Calibri" w:hAnsi="Times New Roman" w:cs="Times New Roman"/>
            <w:color w:val="0563C1"/>
            <w:szCs w:val="24"/>
            <w:u w:val="single"/>
            <w:lang w:eastAsia="en-AU"/>
          </w:rPr>
          <w:t>https://www.apec.org/Publications/2017/11/APEC-Gender-Inclusion-Guidelines</w:t>
        </w:r>
      </w:hyperlink>
      <w:r w:rsidR="00E626CC" w:rsidRPr="008E7D78">
        <w:rPr>
          <w:rFonts w:ascii="Times New Roman" w:eastAsia="Calibri" w:hAnsi="Times New Roman" w:cs="Times New Roman"/>
          <w:color w:val="000000"/>
          <w:szCs w:val="24"/>
          <w:lang w:eastAsia="en-AU"/>
        </w:rPr>
        <w:t>)</w:t>
      </w:r>
      <w:r w:rsidR="00CA74AD">
        <w:rPr>
          <w:rFonts w:ascii="Times New Roman" w:eastAsia="Calibri" w:hAnsi="Times New Roman" w:cs="Times New Roman"/>
          <w:color w:val="000000"/>
          <w:szCs w:val="24"/>
          <w:lang w:eastAsia="en-AU"/>
        </w:rPr>
        <w:t>;</w:t>
      </w:r>
    </w:p>
    <w:p w14:paraId="33F56DF6" w14:textId="3CA7FFE1" w:rsidR="00490890" w:rsidRDefault="000B41DB" w:rsidP="00ED2C5F">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Pr>
          <w:rFonts w:ascii="Times New Roman" w:eastAsia="Calibri" w:hAnsi="Times New Roman" w:cs="Times New Roman"/>
          <w:color w:val="000000"/>
          <w:szCs w:val="24"/>
          <w:lang w:eastAsia="en-AU"/>
        </w:rPr>
        <w:t xml:space="preserve">include international best practices </w:t>
      </w:r>
      <w:r w:rsidR="00F0371E">
        <w:rPr>
          <w:rFonts w:ascii="Times New Roman" w:eastAsia="Calibri" w:hAnsi="Times New Roman" w:cs="Times New Roman"/>
          <w:color w:val="000000"/>
          <w:szCs w:val="24"/>
          <w:lang w:eastAsia="en-AU"/>
        </w:rPr>
        <w:t xml:space="preserve">relevant to economic legal infrastructure </w:t>
      </w:r>
      <w:r>
        <w:rPr>
          <w:rFonts w:ascii="Times New Roman" w:eastAsia="Calibri" w:hAnsi="Times New Roman" w:cs="Times New Roman"/>
          <w:color w:val="000000"/>
          <w:szCs w:val="24"/>
          <w:lang w:eastAsia="en-AU"/>
        </w:rPr>
        <w:t xml:space="preserve">from international </w:t>
      </w:r>
      <w:proofErr w:type="spellStart"/>
      <w:r>
        <w:rPr>
          <w:rFonts w:ascii="Times New Roman" w:eastAsia="Calibri" w:hAnsi="Times New Roman" w:cs="Times New Roman"/>
          <w:color w:val="000000"/>
          <w:szCs w:val="24"/>
          <w:lang w:eastAsia="en-AU"/>
        </w:rPr>
        <w:t>organisations</w:t>
      </w:r>
      <w:proofErr w:type="spellEnd"/>
      <w:r>
        <w:rPr>
          <w:rFonts w:ascii="Times New Roman" w:eastAsia="Calibri" w:hAnsi="Times New Roman" w:cs="Times New Roman"/>
          <w:color w:val="000000"/>
          <w:szCs w:val="24"/>
          <w:lang w:eastAsia="en-AU"/>
        </w:rPr>
        <w:t>;</w:t>
      </w:r>
    </w:p>
    <w:p w14:paraId="1E84DD57" w14:textId="2342DADE" w:rsidR="00490890" w:rsidRDefault="00490890" w:rsidP="00ED2C5F">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Pr>
          <w:rFonts w:ascii="Times New Roman" w:eastAsia="Calibri" w:hAnsi="Times New Roman" w:cs="Times New Roman"/>
          <w:color w:val="000000"/>
          <w:szCs w:val="24"/>
          <w:lang w:eastAsia="en-AU"/>
        </w:rPr>
        <w:t xml:space="preserve">describe how the proposed initiative can contribute to </w:t>
      </w:r>
      <w:r w:rsidR="00C86551">
        <w:rPr>
          <w:rFonts w:ascii="Times New Roman" w:eastAsia="Calibri" w:hAnsi="Times New Roman" w:cs="Times New Roman"/>
          <w:color w:val="000000"/>
          <w:szCs w:val="24"/>
          <w:lang w:eastAsia="en-AU"/>
        </w:rPr>
        <w:t xml:space="preserve">structural reform and </w:t>
      </w:r>
      <w:r>
        <w:rPr>
          <w:rFonts w:ascii="Times New Roman" w:eastAsia="Calibri" w:hAnsi="Times New Roman" w:cs="Times New Roman"/>
          <w:color w:val="000000"/>
          <w:szCs w:val="24"/>
          <w:lang w:eastAsia="en-AU"/>
        </w:rPr>
        <w:t>inclusive growth;</w:t>
      </w:r>
    </w:p>
    <w:p w14:paraId="2A805F03" w14:textId="5D12CBBD" w:rsidR="00E626CC" w:rsidRPr="00490890" w:rsidRDefault="00E626CC" w:rsidP="00490890">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sidRPr="00490890">
        <w:rPr>
          <w:rFonts w:ascii="Times New Roman" w:eastAsia="Calibri" w:hAnsi="Times New Roman" w:cs="Times New Roman"/>
          <w:color w:val="000000"/>
          <w:szCs w:val="24"/>
          <w:lang w:eastAsia="en-AU"/>
        </w:rPr>
        <w:t>use an evidence-based mode of implementation, using internationally-</w:t>
      </w:r>
      <w:proofErr w:type="spellStart"/>
      <w:r w:rsidRPr="00490890">
        <w:rPr>
          <w:rFonts w:ascii="Times New Roman" w:eastAsia="Calibri" w:hAnsi="Times New Roman" w:cs="Times New Roman"/>
          <w:color w:val="000000"/>
          <w:szCs w:val="24"/>
          <w:lang w:eastAsia="en-AU"/>
        </w:rPr>
        <w:t>recognised</w:t>
      </w:r>
      <w:proofErr w:type="spellEnd"/>
      <w:r w:rsidRPr="00490890">
        <w:rPr>
          <w:rFonts w:ascii="Times New Roman" w:eastAsia="Calibri" w:hAnsi="Times New Roman" w:cs="Times New Roman"/>
          <w:color w:val="000000"/>
          <w:szCs w:val="24"/>
          <w:lang w:eastAsia="en-AU"/>
        </w:rPr>
        <w:t xml:space="preserve"> data </w:t>
      </w:r>
      <w:proofErr w:type="spellStart"/>
      <w:r w:rsidRPr="00490890">
        <w:rPr>
          <w:rFonts w:ascii="Times New Roman" w:eastAsia="Calibri" w:hAnsi="Times New Roman" w:cs="Times New Roman"/>
          <w:color w:val="000000"/>
          <w:szCs w:val="24"/>
          <w:lang w:eastAsia="en-AU"/>
        </w:rPr>
        <w:t>where</w:t>
      </w:r>
      <w:proofErr w:type="spellEnd"/>
      <w:r w:rsidRPr="00490890">
        <w:rPr>
          <w:rFonts w:ascii="Times New Roman" w:eastAsia="Calibri" w:hAnsi="Times New Roman" w:cs="Times New Roman"/>
          <w:color w:val="000000"/>
          <w:szCs w:val="24"/>
          <w:lang w:eastAsia="en-AU"/>
        </w:rPr>
        <w:t xml:space="preserve"> available</w:t>
      </w:r>
      <w:r w:rsidR="008D1314" w:rsidRPr="00490890">
        <w:rPr>
          <w:rFonts w:ascii="Times New Roman" w:eastAsia="Calibri" w:hAnsi="Times New Roman" w:cs="Times New Roman"/>
          <w:color w:val="000000"/>
          <w:szCs w:val="24"/>
          <w:lang w:eastAsia="en-AU"/>
        </w:rPr>
        <w:t>;</w:t>
      </w:r>
      <w:r w:rsidRPr="00490890">
        <w:rPr>
          <w:rFonts w:ascii="Times New Roman" w:eastAsia="Calibri" w:hAnsi="Times New Roman" w:cs="Times New Roman"/>
          <w:color w:val="000000"/>
          <w:szCs w:val="24"/>
          <w:lang w:eastAsia="en-AU"/>
        </w:rPr>
        <w:t xml:space="preserve"> </w:t>
      </w:r>
    </w:p>
    <w:p w14:paraId="19C9B9D4" w14:textId="351F0593" w:rsidR="00E626CC" w:rsidRDefault="00E626CC" w:rsidP="00ED2C5F">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Pr>
          <w:rFonts w:ascii="Times New Roman" w:eastAsia="Calibri" w:hAnsi="Times New Roman" w:cs="Times New Roman"/>
          <w:color w:val="000000"/>
          <w:szCs w:val="24"/>
          <w:lang w:eastAsia="en-AU"/>
        </w:rPr>
        <w:t>e</w:t>
      </w:r>
      <w:r w:rsidRPr="008E7D78">
        <w:rPr>
          <w:rFonts w:ascii="Times New Roman" w:eastAsia="Calibri" w:hAnsi="Times New Roman" w:cs="Times New Roman"/>
          <w:color w:val="000000"/>
          <w:szCs w:val="24"/>
          <w:lang w:eastAsia="en-AU"/>
        </w:rPr>
        <w:t>nsure participation and/or planning input from a broad range of stakeholders, including the private sector and/or civil society</w:t>
      </w:r>
      <w:r w:rsidR="008D1314">
        <w:rPr>
          <w:rFonts w:ascii="Times New Roman" w:eastAsia="Calibri" w:hAnsi="Times New Roman" w:cs="Times New Roman"/>
          <w:color w:val="000000"/>
          <w:szCs w:val="24"/>
          <w:lang w:eastAsia="en-AU"/>
        </w:rPr>
        <w:t>;</w:t>
      </w:r>
      <w:r w:rsidRPr="008E7D78">
        <w:rPr>
          <w:rFonts w:ascii="Times New Roman" w:eastAsia="Calibri" w:hAnsi="Times New Roman" w:cs="Times New Roman"/>
          <w:color w:val="000000"/>
          <w:szCs w:val="24"/>
          <w:lang w:eastAsia="en-AU"/>
        </w:rPr>
        <w:t xml:space="preserve"> </w:t>
      </w:r>
    </w:p>
    <w:p w14:paraId="6AEAB548" w14:textId="74B760B8" w:rsidR="00E626CC" w:rsidRPr="000B41DB" w:rsidRDefault="00E626CC" w:rsidP="000B41DB">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sidRPr="000B41DB">
        <w:rPr>
          <w:rFonts w:ascii="Times New Roman" w:eastAsia="Calibri" w:hAnsi="Times New Roman" w:cs="Times New Roman"/>
          <w:color w:val="000000"/>
          <w:szCs w:val="24"/>
          <w:lang w:eastAsia="en-AU"/>
        </w:rPr>
        <w:t>account for, relevant work, both completed and underway across APEC and in other fora that can contribute to the project</w:t>
      </w:r>
      <w:r w:rsidR="008D1314" w:rsidRPr="000B41DB">
        <w:rPr>
          <w:rFonts w:ascii="Times New Roman" w:eastAsia="Calibri" w:hAnsi="Times New Roman" w:cs="Times New Roman"/>
          <w:color w:val="000000"/>
          <w:szCs w:val="24"/>
          <w:lang w:eastAsia="en-AU"/>
        </w:rPr>
        <w:t xml:space="preserve">; </w:t>
      </w:r>
      <w:r w:rsidR="00E86DA1">
        <w:rPr>
          <w:rFonts w:ascii="Times New Roman" w:eastAsia="Calibri" w:hAnsi="Times New Roman" w:cs="Times New Roman"/>
          <w:color w:val="000000"/>
          <w:szCs w:val="24"/>
          <w:lang w:eastAsia="en-AU"/>
        </w:rPr>
        <w:t>and</w:t>
      </w:r>
    </w:p>
    <w:p w14:paraId="49397EFF" w14:textId="77777777" w:rsidR="00E626CC" w:rsidRDefault="00E626CC" w:rsidP="00ED2C5F">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proofErr w:type="gramStart"/>
      <w:r>
        <w:rPr>
          <w:rFonts w:ascii="Times New Roman" w:eastAsia="Calibri" w:hAnsi="Times New Roman" w:cs="Times New Roman"/>
          <w:color w:val="000000"/>
          <w:szCs w:val="24"/>
          <w:lang w:eastAsia="en-AU"/>
        </w:rPr>
        <w:lastRenderedPageBreak/>
        <w:t>where</w:t>
      </w:r>
      <w:proofErr w:type="gramEnd"/>
      <w:r>
        <w:rPr>
          <w:rFonts w:ascii="Times New Roman" w:eastAsia="Calibri" w:hAnsi="Times New Roman" w:cs="Times New Roman"/>
          <w:color w:val="000000"/>
          <w:szCs w:val="24"/>
          <w:lang w:eastAsia="en-AU"/>
        </w:rPr>
        <w:t xml:space="preserve"> possible, develop implementation timelines that are greater than 12 months.</w:t>
      </w:r>
    </w:p>
    <w:p w14:paraId="3DC9CF95" w14:textId="77777777" w:rsidR="00E626CC" w:rsidRDefault="00E626CC" w:rsidP="003A1779">
      <w:pPr>
        <w:jc w:val="both"/>
        <w:rPr>
          <w:rFonts w:ascii="Times New Roman" w:hAnsi="Times New Roman" w:cs="Times New Roman"/>
        </w:rPr>
      </w:pPr>
    </w:p>
    <w:p w14:paraId="022D63E5" w14:textId="77777777" w:rsidR="008147C0" w:rsidRDefault="008147C0" w:rsidP="003A1779">
      <w:pPr>
        <w:jc w:val="both"/>
        <w:rPr>
          <w:rFonts w:ascii="Times New Roman" w:hAnsi="Times New Roman" w:cs="Times New Roman"/>
        </w:rPr>
      </w:pPr>
      <w:r>
        <w:rPr>
          <w:rFonts w:ascii="Times New Roman" w:hAnsi="Times New Roman" w:cs="Times New Roman"/>
        </w:rPr>
        <w:t xml:space="preserve">All CNs seeking access to the SELI Sub-fund must be endorsed by the proposing forum and have at least two co-sponsors. </w:t>
      </w:r>
      <w:r w:rsidR="00440284">
        <w:rPr>
          <w:rFonts w:ascii="Times New Roman" w:hAnsi="Times New Roman" w:cs="Times New Roman"/>
        </w:rPr>
        <w:t xml:space="preserve">No single CN shall request in excess of US$150,000 from the SELI Sub-fund but there is no restriction on the scale of any self-funding that </w:t>
      </w:r>
      <w:proofErr w:type="gramStart"/>
      <w:r w:rsidR="00440284">
        <w:rPr>
          <w:rFonts w:ascii="Times New Roman" w:hAnsi="Times New Roman" w:cs="Times New Roman"/>
        </w:rPr>
        <w:t>is applied</w:t>
      </w:r>
      <w:proofErr w:type="gramEnd"/>
      <w:r w:rsidR="00440284">
        <w:rPr>
          <w:rFonts w:ascii="Times New Roman" w:hAnsi="Times New Roman" w:cs="Times New Roman"/>
        </w:rPr>
        <w:t xml:space="preserve"> to any single CN. </w:t>
      </w:r>
      <w:r>
        <w:rPr>
          <w:rFonts w:ascii="Times New Roman" w:hAnsi="Times New Roman" w:cs="Times New Roman"/>
        </w:rPr>
        <w:t>Following the Final Submission Deadline that applies to the Project Session in question, an Assessment Group will first undertake an assessment of each CN seeking funding from</w:t>
      </w:r>
      <w:r w:rsidR="00B178FE">
        <w:rPr>
          <w:rFonts w:ascii="Times New Roman" w:hAnsi="Times New Roman" w:cs="Times New Roman"/>
        </w:rPr>
        <w:t xml:space="preserve"> the</w:t>
      </w:r>
      <w:r w:rsidR="001F54C3">
        <w:rPr>
          <w:rFonts w:ascii="Times New Roman" w:hAnsi="Times New Roman" w:cs="Times New Roman"/>
        </w:rPr>
        <w:t xml:space="preserve"> SELI Sub-fund, for the purpose</w:t>
      </w:r>
      <w:r>
        <w:rPr>
          <w:rFonts w:ascii="Times New Roman" w:hAnsi="Times New Roman" w:cs="Times New Roman"/>
        </w:rPr>
        <w:t xml:space="preserve"> of determining eligibility.</w:t>
      </w:r>
    </w:p>
    <w:p w14:paraId="225DF6B9" w14:textId="77777777" w:rsidR="008147C0" w:rsidRPr="008147C0" w:rsidRDefault="008147C0" w:rsidP="003A1779">
      <w:pPr>
        <w:jc w:val="both"/>
        <w:rPr>
          <w:rFonts w:ascii="Times New Roman" w:hAnsi="Times New Roman" w:cs="Times New Roman"/>
        </w:rPr>
      </w:pPr>
    </w:p>
    <w:p w14:paraId="09CEE956" w14:textId="77777777" w:rsidR="008147C0" w:rsidRDefault="008147C0" w:rsidP="003A1779">
      <w:pPr>
        <w:jc w:val="both"/>
        <w:rPr>
          <w:rFonts w:ascii="Times New Roman" w:hAnsi="Times New Roman" w:cs="Times New Roman"/>
        </w:rPr>
      </w:pPr>
      <w:r>
        <w:rPr>
          <w:rFonts w:ascii="Times New Roman" w:hAnsi="Times New Roman" w:cs="Times New Roman" w:hint="eastAsia"/>
        </w:rPr>
        <w:t>The Assessment Group will consist of:</w:t>
      </w:r>
    </w:p>
    <w:p w14:paraId="61DA2F5A" w14:textId="3F66461D" w:rsidR="008147C0" w:rsidRPr="003D132A" w:rsidRDefault="008147C0" w:rsidP="003D132A">
      <w:pPr>
        <w:widowControl/>
        <w:numPr>
          <w:ilvl w:val="0"/>
          <w:numId w:val="3"/>
        </w:numPr>
        <w:spacing w:before="240" w:after="120" w:line="256" w:lineRule="auto"/>
        <w:ind w:left="709" w:hanging="259"/>
        <w:jc w:val="both"/>
        <w:rPr>
          <w:rFonts w:ascii="Times New Roman" w:eastAsia="Calibri" w:hAnsi="Times New Roman" w:cs="Times New Roman"/>
          <w:color w:val="000000"/>
          <w:szCs w:val="24"/>
          <w:lang w:eastAsia="en-AU"/>
        </w:rPr>
      </w:pPr>
      <w:r w:rsidRPr="003D132A">
        <w:rPr>
          <w:rFonts w:ascii="Times New Roman" w:eastAsia="Calibri" w:hAnsi="Times New Roman" w:cs="Times New Roman" w:hint="eastAsia"/>
          <w:color w:val="000000"/>
          <w:szCs w:val="24"/>
          <w:lang w:eastAsia="en-AU"/>
        </w:rPr>
        <w:t>The EC Chair;</w:t>
      </w:r>
    </w:p>
    <w:p w14:paraId="0A5788DC" w14:textId="519CA3D2" w:rsidR="00094BD2" w:rsidRPr="003D132A" w:rsidRDefault="008147C0" w:rsidP="003D132A">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sidRPr="003D132A">
        <w:rPr>
          <w:rFonts w:ascii="Times New Roman" w:eastAsia="Calibri" w:hAnsi="Times New Roman" w:cs="Times New Roman"/>
          <w:color w:val="000000"/>
          <w:szCs w:val="24"/>
          <w:lang w:eastAsia="en-AU"/>
        </w:rPr>
        <w:t>The EC Program Director, APEC Secretariat;</w:t>
      </w:r>
    </w:p>
    <w:p w14:paraId="5B2A0862" w14:textId="77777777" w:rsidR="008147C0" w:rsidRPr="003D132A" w:rsidRDefault="00094BD2" w:rsidP="003D132A">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sidRPr="003D132A">
        <w:rPr>
          <w:rFonts w:ascii="Times New Roman" w:eastAsia="Calibri" w:hAnsi="Times New Roman" w:cs="Times New Roman"/>
          <w:color w:val="000000"/>
          <w:szCs w:val="24"/>
          <w:lang w:eastAsia="en-AU"/>
        </w:rPr>
        <w:t>The Host economy, where the Host economy is a developing economy (where the Host is a developed economy, the EC shall decide on which developing economy should occupy this role)</w:t>
      </w:r>
      <w:r w:rsidR="00340B8A" w:rsidRPr="003D132A">
        <w:rPr>
          <w:rFonts w:ascii="Times New Roman" w:eastAsia="Calibri" w:hAnsi="Times New Roman" w:cs="Times New Roman"/>
          <w:color w:val="000000"/>
          <w:szCs w:val="24"/>
          <w:lang w:eastAsia="en-AU"/>
        </w:rPr>
        <w:t>;</w:t>
      </w:r>
      <w:r w:rsidR="009C4552" w:rsidRPr="003D132A">
        <w:rPr>
          <w:rFonts w:ascii="Times New Roman" w:eastAsia="Calibri" w:hAnsi="Times New Roman" w:cs="Times New Roman"/>
          <w:color w:val="000000"/>
          <w:szCs w:val="24"/>
          <w:lang w:eastAsia="en-AU"/>
        </w:rPr>
        <w:t xml:space="preserve"> and</w:t>
      </w:r>
    </w:p>
    <w:p w14:paraId="769074BC" w14:textId="77777777" w:rsidR="008147C0" w:rsidRPr="003D132A" w:rsidRDefault="008147C0" w:rsidP="003D132A">
      <w:pPr>
        <w:widowControl/>
        <w:numPr>
          <w:ilvl w:val="0"/>
          <w:numId w:val="3"/>
        </w:numPr>
        <w:spacing w:after="120" w:line="256" w:lineRule="auto"/>
        <w:ind w:left="709" w:hanging="259"/>
        <w:jc w:val="both"/>
        <w:rPr>
          <w:rFonts w:ascii="Times New Roman" w:eastAsia="Calibri" w:hAnsi="Times New Roman" w:cs="Times New Roman"/>
          <w:color w:val="000000"/>
          <w:szCs w:val="24"/>
          <w:lang w:eastAsia="en-AU"/>
        </w:rPr>
      </w:pPr>
      <w:r w:rsidRPr="003D132A">
        <w:rPr>
          <w:rFonts w:ascii="Times New Roman" w:eastAsia="Calibri" w:hAnsi="Times New Roman" w:cs="Times New Roman"/>
          <w:color w:val="000000"/>
          <w:szCs w:val="24"/>
          <w:lang w:eastAsia="en-AU"/>
        </w:rPr>
        <w:t>Economies</w:t>
      </w:r>
      <w:r w:rsidR="008D1314" w:rsidRPr="003D132A">
        <w:rPr>
          <w:rFonts w:ascii="Times New Roman" w:eastAsia="Calibri" w:hAnsi="Times New Roman" w:cs="Times New Roman"/>
          <w:color w:val="000000"/>
          <w:szCs w:val="24"/>
          <w:lang w:eastAsia="en-AU"/>
        </w:rPr>
        <w:t>,</w:t>
      </w:r>
      <w:r w:rsidRPr="003D132A">
        <w:rPr>
          <w:rFonts w:ascii="Times New Roman" w:eastAsia="Calibri" w:hAnsi="Times New Roman" w:cs="Times New Roman"/>
          <w:color w:val="000000"/>
          <w:szCs w:val="24"/>
          <w:lang w:eastAsia="en-AU"/>
        </w:rPr>
        <w:t xml:space="preserve"> which have contributed to the SELI Sub-fund</w:t>
      </w:r>
      <w:r w:rsidR="009C4552" w:rsidRPr="003D132A">
        <w:rPr>
          <w:rFonts w:ascii="Times New Roman" w:eastAsia="Calibri" w:hAnsi="Times New Roman" w:cs="Times New Roman"/>
          <w:color w:val="000000"/>
          <w:szCs w:val="24"/>
          <w:lang w:eastAsia="en-AU"/>
        </w:rPr>
        <w:t>.</w:t>
      </w:r>
    </w:p>
    <w:p w14:paraId="1EDB4809" w14:textId="77777777" w:rsidR="008147C0" w:rsidRDefault="008147C0" w:rsidP="008147C0">
      <w:pPr>
        <w:jc w:val="both"/>
        <w:rPr>
          <w:rFonts w:ascii="Times New Roman" w:hAnsi="Times New Roman" w:cs="Times New Roman"/>
        </w:rPr>
      </w:pPr>
    </w:p>
    <w:p w14:paraId="5D673EEF" w14:textId="77777777" w:rsidR="00BE3041" w:rsidRDefault="00BE3041" w:rsidP="008147C0">
      <w:pPr>
        <w:jc w:val="both"/>
        <w:rPr>
          <w:rFonts w:ascii="Times New Roman" w:hAnsi="Times New Roman" w:cs="Times New Roman"/>
        </w:rPr>
      </w:pPr>
      <w:r>
        <w:rPr>
          <w:rFonts w:ascii="Times New Roman" w:hAnsi="Times New Roman" w:cs="Times New Roman" w:hint="eastAsia"/>
        </w:rPr>
        <w:t>The Assessment Group will use APEC</w:t>
      </w:r>
      <w:r>
        <w:rPr>
          <w:rFonts w:ascii="Times New Roman" w:hAnsi="Times New Roman" w:cs="Times New Roman"/>
        </w:rPr>
        <w:t xml:space="preserve">’s Quality Criteria of </w:t>
      </w:r>
      <w:r w:rsidRPr="00BE3041">
        <w:rPr>
          <w:rFonts w:ascii="Times New Roman" w:hAnsi="Times New Roman" w:cs="Times New Roman"/>
          <w:i/>
        </w:rPr>
        <w:t>relevance, impact, effectiveness, sustainability</w:t>
      </w:r>
      <w:r>
        <w:rPr>
          <w:rFonts w:ascii="Times New Roman" w:hAnsi="Times New Roman" w:cs="Times New Roman"/>
        </w:rPr>
        <w:t xml:space="preserve"> and </w:t>
      </w:r>
      <w:r w:rsidRPr="00BE3041">
        <w:rPr>
          <w:rFonts w:ascii="Times New Roman" w:hAnsi="Times New Roman" w:cs="Times New Roman"/>
          <w:i/>
        </w:rPr>
        <w:t xml:space="preserve">efficiency </w:t>
      </w:r>
      <w:r>
        <w:rPr>
          <w:rFonts w:ascii="Times New Roman" w:hAnsi="Times New Roman" w:cs="Times New Roman"/>
        </w:rPr>
        <w:t xml:space="preserve">to assess each CN in </w:t>
      </w:r>
      <w:r w:rsidR="0005491D">
        <w:rPr>
          <w:rFonts w:ascii="Times New Roman" w:hAnsi="Times New Roman" w:cs="Times New Roman"/>
        </w:rPr>
        <w:t>advancing the specific objectives of the SELI Sub-fund</w:t>
      </w:r>
      <w:r w:rsidR="0050761D">
        <w:rPr>
          <w:rFonts w:ascii="Times New Roman" w:hAnsi="Times New Roman" w:cs="Times New Roman"/>
        </w:rPr>
        <w:t>.</w:t>
      </w:r>
      <w:r w:rsidR="00094BD2" w:rsidRPr="00094BD2">
        <w:rPr>
          <w:rFonts w:ascii="Times New Roman" w:hAnsi="Times New Roman" w:cs="Times New Roman"/>
        </w:rPr>
        <w:t xml:space="preserve"> </w:t>
      </w:r>
      <w:r w:rsidR="00094BD2">
        <w:rPr>
          <w:rFonts w:ascii="Times New Roman" w:hAnsi="Times New Roman" w:cs="Times New Roman"/>
        </w:rPr>
        <w:t xml:space="preserve">The APEC Policy Support Unit (PSU) </w:t>
      </w:r>
      <w:proofErr w:type="gramStart"/>
      <w:r w:rsidR="00094BD2">
        <w:rPr>
          <w:rFonts w:ascii="Times New Roman" w:hAnsi="Times New Roman" w:cs="Times New Roman"/>
        </w:rPr>
        <w:t>may also be requested</w:t>
      </w:r>
      <w:proofErr w:type="gramEnd"/>
      <w:r w:rsidR="00094BD2">
        <w:rPr>
          <w:rFonts w:ascii="Times New Roman" w:hAnsi="Times New Roman" w:cs="Times New Roman"/>
        </w:rPr>
        <w:t xml:space="preserve"> to provide advice and feedback on CNs in appropriate cases.</w:t>
      </w:r>
    </w:p>
    <w:p w14:paraId="5CE64378" w14:textId="77777777" w:rsidR="007B50BF" w:rsidRDefault="007B50BF" w:rsidP="008147C0">
      <w:pPr>
        <w:jc w:val="both"/>
        <w:rPr>
          <w:rFonts w:ascii="Times New Roman" w:hAnsi="Times New Roman" w:cs="Times New Roman"/>
        </w:rPr>
      </w:pPr>
    </w:p>
    <w:p w14:paraId="5B61F03C" w14:textId="6A3CE06F" w:rsidR="40F30E6E" w:rsidRPr="00DA4249" w:rsidRDefault="40F30E6E" w:rsidP="00DA4249">
      <w:pPr>
        <w:jc w:val="both"/>
        <w:rPr>
          <w:rFonts w:ascii="Times New Roman" w:eastAsia="Times New Roman" w:hAnsi="Times New Roman" w:cs="Times New Roman"/>
          <w:szCs w:val="24"/>
        </w:rPr>
      </w:pPr>
      <w:r w:rsidRPr="00DA4249">
        <w:rPr>
          <w:rFonts w:ascii="Times New Roman" w:eastAsia="Times New Roman" w:hAnsi="Times New Roman" w:cs="Times New Roman"/>
          <w:szCs w:val="24"/>
        </w:rPr>
        <w:t>The Assessment Group will operate in a transparent and fair manner</w:t>
      </w:r>
      <w:r w:rsidRPr="00DA4249">
        <w:rPr>
          <w:rFonts w:ascii="Times New Roman" w:eastAsia="Times New Roman" w:hAnsi="Times New Roman" w:cs="Times New Roman"/>
          <w:color w:val="000000" w:themeColor="text1"/>
          <w:szCs w:val="24"/>
          <w:lang w:val="en-SG"/>
        </w:rPr>
        <w:t>, with any EC member entitled to observe proceedings.</w:t>
      </w:r>
      <w:r w:rsidR="008F01A2">
        <w:rPr>
          <w:rFonts w:ascii="Times New Roman" w:eastAsia="Times New Roman" w:hAnsi="Times New Roman" w:cs="Times New Roman"/>
          <w:color w:val="000000" w:themeColor="text1"/>
          <w:szCs w:val="24"/>
          <w:lang w:val="en-SG"/>
        </w:rPr>
        <w:t xml:space="preserve"> </w:t>
      </w:r>
      <w:r w:rsidRPr="40F30E6E">
        <w:rPr>
          <w:rFonts w:ascii="Times New Roman" w:eastAsia="Times New Roman" w:hAnsi="Times New Roman" w:cs="Times New Roman"/>
          <w:szCs w:val="24"/>
        </w:rPr>
        <w:t>The Assessment Group function will be subject to annual review</w:t>
      </w:r>
      <w:r w:rsidR="008F01A2">
        <w:rPr>
          <w:rFonts w:ascii="Times New Roman" w:eastAsia="Times New Roman" w:hAnsi="Times New Roman" w:cs="Times New Roman"/>
          <w:szCs w:val="24"/>
        </w:rPr>
        <w:t xml:space="preserve"> and renewal by all EC members.</w:t>
      </w:r>
      <w:r w:rsidRPr="40F30E6E">
        <w:rPr>
          <w:rFonts w:ascii="Times New Roman" w:eastAsia="Times New Roman" w:hAnsi="Times New Roman" w:cs="Times New Roman"/>
          <w:szCs w:val="24"/>
        </w:rPr>
        <w:t xml:space="preserve"> If there is no consensus on </w:t>
      </w:r>
      <w:r w:rsidR="008F01A2" w:rsidRPr="40F30E6E">
        <w:rPr>
          <w:rFonts w:ascii="Times New Roman" w:eastAsia="Times New Roman" w:hAnsi="Times New Roman" w:cs="Times New Roman"/>
          <w:szCs w:val="24"/>
        </w:rPr>
        <w:t>renewal,</w:t>
      </w:r>
      <w:r w:rsidRPr="40F30E6E">
        <w:rPr>
          <w:rFonts w:ascii="Times New Roman" w:eastAsia="Times New Roman" w:hAnsi="Times New Roman" w:cs="Times New Roman"/>
          <w:szCs w:val="24"/>
        </w:rPr>
        <w:t xml:space="preserve"> the projects will follow the standard process of eligibility assessment.</w:t>
      </w:r>
    </w:p>
    <w:p w14:paraId="785E16E7" w14:textId="77777777" w:rsidR="00270546" w:rsidRDefault="00270546" w:rsidP="008147C0">
      <w:pPr>
        <w:jc w:val="both"/>
        <w:rPr>
          <w:rFonts w:ascii="Times New Roman" w:hAnsi="Times New Roman" w:cs="Times New Roman"/>
        </w:rPr>
      </w:pPr>
    </w:p>
    <w:p w14:paraId="4CA1A1D0" w14:textId="77777777" w:rsidR="00F04383" w:rsidRDefault="0060750E" w:rsidP="008147C0">
      <w:pPr>
        <w:jc w:val="both"/>
        <w:rPr>
          <w:rFonts w:ascii="Times New Roman" w:hAnsi="Times New Roman" w:cs="Times New Roman"/>
        </w:rPr>
      </w:pPr>
      <w:r>
        <w:rPr>
          <w:rFonts w:ascii="Times New Roman" w:hAnsi="Times New Roman" w:cs="Times New Roman"/>
        </w:rPr>
        <w:t xml:space="preserve">The </w:t>
      </w:r>
      <w:r w:rsidR="0005491D">
        <w:rPr>
          <w:rFonts w:ascii="Times New Roman" w:hAnsi="Times New Roman" w:cs="Times New Roman" w:hint="eastAsia"/>
        </w:rPr>
        <w:t xml:space="preserve">EC would continue to have full decision-making authority in relation to the endorsement of CNs proposed within the EC. </w:t>
      </w:r>
      <w:r w:rsidR="0005491D">
        <w:rPr>
          <w:rFonts w:ascii="Times New Roman" w:hAnsi="Times New Roman" w:cs="Times New Roman"/>
        </w:rPr>
        <w:t>Eligible CNs that have been endorsed by the EC, or another proposing fora, will be scored by the EC</w:t>
      </w:r>
      <w:r w:rsidR="005A1772" w:rsidRPr="005A1772">
        <w:rPr>
          <w:rFonts w:ascii="Times New Roman" w:eastAsia="Calibri" w:hAnsi="Times New Roman" w:cs="Times New Roman"/>
          <w:color w:val="000000"/>
          <w:szCs w:val="24"/>
        </w:rPr>
        <w:t xml:space="preserve"> </w:t>
      </w:r>
      <w:r w:rsidR="005A1772" w:rsidRPr="008E7D78">
        <w:rPr>
          <w:rFonts w:ascii="Times New Roman" w:eastAsia="Calibri" w:hAnsi="Times New Roman" w:cs="Times New Roman"/>
          <w:color w:val="000000"/>
          <w:szCs w:val="24"/>
        </w:rPr>
        <w:t>using the APEC Scoring Template</w:t>
      </w:r>
      <w:r w:rsidR="0005491D">
        <w:rPr>
          <w:rFonts w:ascii="Times New Roman" w:hAnsi="Times New Roman" w:cs="Times New Roman"/>
        </w:rPr>
        <w:t xml:space="preserve">, in its role as the forum responsible for scoring all CNs found to be eligible to access the SELI Sub-fund. </w:t>
      </w:r>
      <w:r w:rsidR="003907A4" w:rsidRPr="008E7D78">
        <w:rPr>
          <w:rFonts w:ascii="Times New Roman" w:eastAsia="Calibri" w:hAnsi="Times New Roman" w:cs="Times New Roman"/>
          <w:color w:val="000000"/>
          <w:szCs w:val="24"/>
        </w:rPr>
        <w:t xml:space="preserve">Consistent with the Guidebook on APEC Projects, the Secretariat will then calculate which CNs can be funded, based on order of scores </w:t>
      </w:r>
      <w:r w:rsidR="003907A4" w:rsidRPr="008E7D78">
        <w:rPr>
          <w:rFonts w:ascii="Times New Roman" w:eastAsia="Calibri" w:hAnsi="Times New Roman" w:cs="Times New Roman"/>
          <w:color w:val="000000"/>
          <w:szCs w:val="24"/>
        </w:rPr>
        <w:lastRenderedPageBreak/>
        <w:t xml:space="preserve">(highest to lowest), and in consideration of the total amount that is available under the </w:t>
      </w:r>
      <w:r w:rsidR="003907A4">
        <w:rPr>
          <w:rFonts w:ascii="Times New Roman" w:eastAsia="Calibri" w:hAnsi="Times New Roman" w:cs="Times New Roman"/>
          <w:color w:val="000000"/>
          <w:szCs w:val="24"/>
        </w:rPr>
        <w:t>SELI Sub-fund</w:t>
      </w:r>
      <w:r w:rsidR="003907A4" w:rsidRPr="008E7D78">
        <w:rPr>
          <w:rFonts w:ascii="Times New Roman" w:eastAsia="Calibri" w:hAnsi="Times New Roman" w:cs="Times New Roman"/>
          <w:color w:val="000000"/>
          <w:szCs w:val="24"/>
        </w:rPr>
        <w:t xml:space="preserve">, for the APEC Project Session in question. </w:t>
      </w:r>
      <w:r w:rsidR="0005491D">
        <w:rPr>
          <w:rFonts w:ascii="Times New Roman" w:hAnsi="Times New Roman" w:cs="Times New Roman"/>
        </w:rPr>
        <w:t xml:space="preserve">For those CNs that </w:t>
      </w:r>
      <w:proofErr w:type="gramStart"/>
      <w:r w:rsidR="0005491D">
        <w:rPr>
          <w:rFonts w:ascii="Times New Roman" w:hAnsi="Times New Roman" w:cs="Times New Roman"/>
        </w:rPr>
        <w:t>are assessed</w:t>
      </w:r>
      <w:proofErr w:type="gramEnd"/>
      <w:r w:rsidR="0005491D">
        <w:rPr>
          <w:rFonts w:ascii="Times New Roman" w:hAnsi="Times New Roman" w:cs="Times New Roman"/>
        </w:rPr>
        <w:t xml:space="preserve"> as eligible and are subsequently recommended by the Secretariat to the </w:t>
      </w:r>
      <w:r w:rsidR="00F04383">
        <w:rPr>
          <w:rFonts w:ascii="Times New Roman" w:hAnsi="Times New Roman" w:cs="Times New Roman"/>
        </w:rPr>
        <w:t>Budget and Management Committee</w:t>
      </w:r>
      <w:r w:rsidR="0005491D">
        <w:rPr>
          <w:rFonts w:ascii="Times New Roman" w:hAnsi="Times New Roman" w:cs="Times New Roman"/>
        </w:rPr>
        <w:t xml:space="preserve"> </w:t>
      </w:r>
      <w:r w:rsidR="00F04383">
        <w:rPr>
          <w:rFonts w:ascii="Times New Roman" w:hAnsi="Times New Roman" w:cs="Times New Roman"/>
        </w:rPr>
        <w:t>for in-principle approval, the Assessment Group may provide feedback on a CN to the Project Overseer (PO) to be taken into account at the Project Proposal stage.</w:t>
      </w:r>
      <w:r w:rsidR="00E75EDD" w:rsidDel="00E75EDD">
        <w:rPr>
          <w:rFonts w:ascii="Times New Roman" w:hAnsi="Times New Roman" w:cs="Times New Roman"/>
        </w:rPr>
        <w:t xml:space="preserve"> </w:t>
      </w:r>
    </w:p>
    <w:p w14:paraId="6FC9992D" w14:textId="77777777" w:rsidR="00E7629F" w:rsidRPr="00F04383" w:rsidRDefault="00E7629F" w:rsidP="008147C0">
      <w:pPr>
        <w:jc w:val="both"/>
        <w:rPr>
          <w:rFonts w:ascii="Times New Roman" w:hAnsi="Times New Roman" w:cs="Times New Roman"/>
        </w:rPr>
      </w:pPr>
    </w:p>
    <w:p w14:paraId="240653C7" w14:textId="77777777" w:rsidR="00F44F21" w:rsidRPr="00F04383" w:rsidRDefault="00B178FE" w:rsidP="003A1779">
      <w:pPr>
        <w:jc w:val="both"/>
        <w:rPr>
          <w:rFonts w:ascii="Times New Roman" w:hAnsi="Times New Roman" w:cs="Times New Roman"/>
        </w:rPr>
      </w:pPr>
      <w:r>
        <w:rPr>
          <w:rFonts w:ascii="Times New Roman" w:hAnsi="Times New Roman" w:cs="Times New Roman"/>
        </w:rPr>
        <w:t>In accordance with</w:t>
      </w:r>
      <w:r w:rsidR="00F04383">
        <w:rPr>
          <w:rFonts w:ascii="Times New Roman" w:hAnsi="Times New Roman" w:cs="Times New Roman"/>
        </w:rPr>
        <w:t xml:space="preserve"> the rules that apply to all APEC project funds, if a CN </w:t>
      </w:r>
      <w:proofErr w:type="gramStart"/>
      <w:r w:rsidR="00F04383">
        <w:rPr>
          <w:rFonts w:ascii="Times New Roman" w:hAnsi="Times New Roman" w:cs="Times New Roman"/>
        </w:rPr>
        <w:t>is found</w:t>
      </w:r>
      <w:proofErr w:type="gramEnd"/>
      <w:r w:rsidR="00F04383">
        <w:rPr>
          <w:rFonts w:ascii="Times New Roman" w:hAnsi="Times New Roman" w:cs="Times New Roman"/>
        </w:rPr>
        <w:t xml:space="preserve"> to be ineligible to access the SELI Sub-fund, the CN may not proceed any further in the APEC Project Session in question, either under the SELI Sub-fund, or any other APEC project fund (including the ASF General Fund). The Assessment Group will provide the ineligibility reasoning to the PO.</w:t>
      </w:r>
    </w:p>
    <w:p w14:paraId="21C8B9A9" w14:textId="77777777" w:rsidR="003F1D83" w:rsidRDefault="003F1D83" w:rsidP="003A1779">
      <w:pPr>
        <w:jc w:val="both"/>
        <w:rPr>
          <w:rFonts w:ascii="Times New Roman" w:hAnsi="Times New Roman" w:cs="Times New Roman"/>
        </w:rPr>
      </w:pPr>
    </w:p>
    <w:p w14:paraId="2C873CFF" w14:textId="77777777" w:rsidR="003F1D83" w:rsidRPr="003F1D83" w:rsidRDefault="003F1D83" w:rsidP="003A1779">
      <w:pPr>
        <w:jc w:val="both"/>
        <w:rPr>
          <w:rFonts w:ascii="Times New Roman" w:hAnsi="Times New Roman" w:cs="Times New Roman"/>
          <w:b/>
        </w:rPr>
      </w:pPr>
      <w:r w:rsidRPr="003F1D83">
        <w:rPr>
          <w:rFonts w:ascii="Times New Roman" w:hAnsi="Times New Roman" w:cs="Times New Roman"/>
          <w:b/>
        </w:rPr>
        <w:t xml:space="preserve">Administration of the </w:t>
      </w:r>
      <w:r w:rsidR="0010621D">
        <w:rPr>
          <w:rFonts w:ascii="Times New Roman" w:hAnsi="Times New Roman" w:cs="Times New Roman"/>
          <w:b/>
        </w:rPr>
        <w:t>Sub-fund</w:t>
      </w:r>
    </w:p>
    <w:p w14:paraId="5B3BC9BE" w14:textId="77777777" w:rsidR="003F1D83" w:rsidRDefault="003F1D83" w:rsidP="003A1779">
      <w:pPr>
        <w:jc w:val="both"/>
        <w:rPr>
          <w:rFonts w:ascii="Times New Roman" w:hAnsi="Times New Roman" w:cs="Times New Roman"/>
        </w:rPr>
      </w:pPr>
    </w:p>
    <w:p w14:paraId="1FB76653" w14:textId="77777777" w:rsidR="003F1D83" w:rsidRDefault="003F1D83" w:rsidP="003A1779">
      <w:pPr>
        <w:jc w:val="both"/>
        <w:rPr>
          <w:rFonts w:ascii="Times New Roman" w:hAnsi="Times New Roman" w:cs="Times New Roman"/>
        </w:rPr>
      </w:pPr>
      <w:r>
        <w:rPr>
          <w:rFonts w:ascii="Times New Roman" w:hAnsi="Times New Roman" w:cs="Times New Roman" w:hint="eastAsia"/>
        </w:rPr>
        <w:t xml:space="preserve">The APEC Secretariat will be responsible for the administration of the </w:t>
      </w:r>
      <w:r w:rsidR="0010621D">
        <w:rPr>
          <w:rFonts w:ascii="Times New Roman" w:hAnsi="Times New Roman" w:cs="Times New Roman" w:hint="eastAsia"/>
        </w:rPr>
        <w:t>SELI Sub-fund</w:t>
      </w:r>
      <w:r>
        <w:rPr>
          <w:rFonts w:ascii="Times New Roman" w:hAnsi="Times New Roman" w:cs="Times New Roman" w:hint="eastAsia"/>
        </w:rPr>
        <w:t xml:space="preserve">. </w:t>
      </w:r>
      <w:r>
        <w:rPr>
          <w:rFonts w:ascii="Times New Roman" w:hAnsi="Times New Roman" w:cs="Times New Roman"/>
        </w:rPr>
        <w:t>It will be subject to the procedures governing the APEC Support Fund, as set out in the Guidebook on APEC Projects.</w:t>
      </w:r>
    </w:p>
    <w:p w14:paraId="59DD51FF" w14:textId="77777777" w:rsidR="00E7629F" w:rsidRDefault="00E7629F" w:rsidP="003A1779">
      <w:pPr>
        <w:jc w:val="both"/>
        <w:rPr>
          <w:rFonts w:ascii="Times New Roman" w:hAnsi="Times New Roman" w:cs="Times New Roman"/>
        </w:rPr>
      </w:pPr>
    </w:p>
    <w:p w14:paraId="1A9F874B" w14:textId="77777777" w:rsidR="00E7629F" w:rsidRDefault="00E7629F" w:rsidP="003A1779">
      <w:pPr>
        <w:jc w:val="both"/>
        <w:rPr>
          <w:rFonts w:ascii="Times New Roman" w:hAnsi="Times New Roman" w:cs="Times New Roman"/>
        </w:rPr>
      </w:pPr>
    </w:p>
    <w:p w14:paraId="7516120C" w14:textId="77777777" w:rsidR="00E7629F" w:rsidRDefault="00E7629F" w:rsidP="003A1779">
      <w:pPr>
        <w:jc w:val="both"/>
        <w:rPr>
          <w:rFonts w:ascii="Times New Roman" w:hAnsi="Times New Roman" w:cs="Times New Roman"/>
        </w:rPr>
      </w:pPr>
    </w:p>
    <w:p w14:paraId="6ABF5356" w14:textId="1AD1A20E" w:rsidR="00E7629F" w:rsidRPr="00E7629F" w:rsidRDefault="00E7629F" w:rsidP="003A1779">
      <w:pPr>
        <w:jc w:val="both"/>
        <w:rPr>
          <w:rFonts w:ascii="Times New Roman" w:hAnsi="Times New Roman" w:cs="Times New Roman"/>
          <w:sz w:val="16"/>
          <w:szCs w:val="16"/>
        </w:rPr>
      </w:pPr>
    </w:p>
    <w:sectPr w:rsidR="00E7629F" w:rsidRPr="00E762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DCE22D" w16cid:durableId="6D12AD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6B70" w14:textId="77777777" w:rsidR="0041639E" w:rsidRDefault="0041639E" w:rsidP="00E008D3">
      <w:r>
        <w:separator/>
      </w:r>
    </w:p>
  </w:endnote>
  <w:endnote w:type="continuationSeparator" w:id="0">
    <w:p w14:paraId="63E061D7" w14:textId="77777777" w:rsidR="0041639E" w:rsidRDefault="0041639E" w:rsidP="00E0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92D4" w14:textId="77777777" w:rsidR="00DA4249" w:rsidRDefault="00DA4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F1AB" w14:textId="3D343715" w:rsidR="00D85651" w:rsidRPr="00D85651" w:rsidRDefault="00D85651" w:rsidP="00D85651">
    <w:pPr>
      <w:pStyle w:val="Footer"/>
      <w:jc w:val="right"/>
      <w:rPr>
        <w:rFonts w:ascii="Calibri" w:hAnsi="Calibri" w:cs="Calibri"/>
        <w:sz w:val="22"/>
      </w:rPr>
    </w:pPr>
    <w:r>
      <w:rPr>
        <w:rFonts w:ascii="Calibri" w:hAnsi="Calibri" w:cs="Calibri"/>
        <w:sz w:val="22"/>
      </w:rPr>
      <w:t xml:space="preserve">Page </w:t>
    </w:r>
    <w:r>
      <w:rPr>
        <w:rFonts w:ascii="Calibri" w:hAnsi="Calibri" w:cs="Calibri"/>
        <w:sz w:val="22"/>
      </w:rPr>
      <w:fldChar w:fldCharType="begin"/>
    </w:r>
    <w:r>
      <w:rPr>
        <w:rFonts w:ascii="Calibri" w:hAnsi="Calibri" w:cs="Calibri"/>
        <w:sz w:val="22"/>
      </w:rPr>
      <w:instrText xml:space="preserve"> PAGE \* Arabic \* MERGEFORMAT </w:instrText>
    </w:r>
    <w:r>
      <w:rPr>
        <w:rFonts w:ascii="Calibri" w:hAnsi="Calibri" w:cs="Calibri"/>
        <w:sz w:val="22"/>
      </w:rPr>
      <w:fldChar w:fldCharType="separate"/>
    </w:r>
    <w:r w:rsidR="000540C3">
      <w:rPr>
        <w:rFonts w:ascii="Calibri" w:hAnsi="Calibri" w:cs="Calibri"/>
        <w:noProof/>
        <w:sz w:val="22"/>
      </w:rPr>
      <w:t>4</w:t>
    </w:r>
    <w:r>
      <w:rPr>
        <w:rFonts w:ascii="Calibri" w:hAnsi="Calibri" w:cs="Calibri"/>
        <w:sz w:val="22"/>
      </w:rPr>
      <w:fldChar w:fldCharType="end"/>
    </w:r>
    <w:r>
      <w:rPr>
        <w:rFonts w:ascii="Calibri" w:hAnsi="Calibri" w:cs="Calibri"/>
        <w:sz w:val="22"/>
      </w:rPr>
      <w:t xml:space="preserve"> of </w:t>
    </w:r>
    <w:r>
      <w:rPr>
        <w:rFonts w:ascii="Calibri" w:hAnsi="Calibri" w:cs="Calibri"/>
        <w:sz w:val="22"/>
      </w:rPr>
      <w:fldChar w:fldCharType="begin"/>
    </w:r>
    <w:r>
      <w:rPr>
        <w:rFonts w:ascii="Calibri" w:hAnsi="Calibri" w:cs="Calibri"/>
        <w:sz w:val="22"/>
      </w:rPr>
      <w:instrText xml:space="preserve"> NUMPAGES \* Arabic \* MERGEFORMAT </w:instrText>
    </w:r>
    <w:r>
      <w:rPr>
        <w:rFonts w:ascii="Calibri" w:hAnsi="Calibri" w:cs="Calibri"/>
        <w:sz w:val="22"/>
      </w:rPr>
      <w:fldChar w:fldCharType="separate"/>
    </w:r>
    <w:r w:rsidR="000540C3">
      <w:rPr>
        <w:rFonts w:ascii="Calibri" w:hAnsi="Calibri" w:cs="Calibri"/>
        <w:noProof/>
        <w:sz w:val="22"/>
      </w:rPr>
      <w:t>4</w:t>
    </w:r>
    <w:r>
      <w:rPr>
        <w:rFonts w:ascii="Calibri" w:hAnsi="Calibri" w:cs="Calibri"/>
        <w:sz w:val="22"/>
      </w:rPr>
      <w:fldChar w:fldCharType="end"/>
    </w:r>
  </w:p>
  <w:p w14:paraId="54631A23" w14:textId="77777777" w:rsidR="00D85651" w:rsidRDefault="00D85651" w:rsidP="00D85651">
    <w:pPr>
      <w:pStyle w:val="Footer"/>
      <w:jc w:val="right"/>
      <w:rPr>
        <w:rFonts w:ascii="Calibri" w:hAnsi="Calibri" w:cs="Calibri"/>
        <w:sz w:val="22"/>
      </w:rPr>
    </w:pPr>
  </w:p>
  <w:p w14:paraId="517E71E1" w14:textId="36AA0EE4" w:rsidR="0065647B" w:rsidRPr="00D85651" w:rsidRDefault="0065647B" w:rsidP="00D85651">
    <w:pPr>
      <w:pStyle w:val="Footer"/>
      <w:rPr>
        <w:rFonts w:ascii="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7B82" w14:textId="77777777" w:rsidR="00DA4249" w:rsidRDefault="00DA4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A2BA" w14:textId="77777777" w:rsidR="0041639E" w:rsidRDefault="0041639E" w:rsidP="00E008D3">
      <w:r>
        <w:separator/>
      </w:r>
    </w:p>
  </w:footnote>
  <w:footnote w:type="continuationSeparator" w:id="0">
    <w:p w14:paraId="42C5C634" w14:textId="77777777" w:rsidR="0041639E" w:rsidRDefault="0041639E" w:rsidP="00E0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18CD" w14:textId="77777777" w:rsidR="00DA4249" w:rsidRDefault="00DA4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8430" w14:textId="77777777" w:rsidR="00DA4249" w:rsidRDefault="00DA4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DAFE" w14:textId="77777777" w:rsidR="00DA4249" w:rsidRDefault="00DA4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496"/>
    <w:multiLevelType w:val="hybridMultilevel"/>
    <w:tmpl w:val="B2D42402"/>
    <w:lvl w:ilvl="0" w:tplc="9EBAD93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DE414E"/>
    <w:multiLevelType w:val="hybridMultilevel"/>
    <w:tmpl w:val="FC8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B0B5B"/>
    <w:multiLevelType w:val="hybridMultilevel"/>
    <w:tmpl w:val="C890E76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39164186"/>
    <w:multiLevelType w:val="hybridMultilevel"/>
    <w:tmpl w:val="F16425B2"/>
    <w:lvl w:ilvl="0" w:tplc="79F06D24">
      <w:numFmt w:val="bullet"/>
      <w:lvlText w:val=""/>
      <w:lvlJc w:val="left"/>
      <w:pPr>
        <w:ind w:left="720" w:hanging="360"/>
      </w:pPr>
      <w:rPr>
        <w:rFonts w:ascii="Wingdings" w:eastAsiaTheme="minorEastAsia" w:hAnsi="Wingdings" w:cs="Times New Roman" w:hint="default"/>
        <w:sz w:val="16"/>
        <w:szCs w:val="1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73E43F4B"/>
    <w:multiLevelType w:val="hybridMultilevel"/>
    <w:tmpl w:val="C3E0DC2E"/>
    <w:lvl w:ilvl="0" w:tplc="04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3C"/>
    <w:rsid w:val="000146B9"/>
    <w:rsid w:val="0001709D"/>
    <w:rsid w:val="00031487"/>
    <w:rsid w:val="00044B6D"/>
    <w:rsid w:val="000540C3"/>
    <w:rsid w:val="0005491D"/>
    <w:rsid w:val="00094BD2"/>
    <w:rsid w:val="00095039"/>
    <w:rsid w:val="000B41DB"/>
    <w:rsid w:val="000F65EB"/>
    <w:rsid w:val="0010621D"/>
    <w:rsid w:val="001C1F5A"/>
    <w:rsid w:val="001F54C3"/>
    <w:rsid w:val="00226DDA"/>
    <w:rsid w:val="002406DD"/>
    <w:rsid w:val="00246F25"/>
    <w:rsid w:val="00257AD0"/>
    <w:rsid w:val="00270546"/>
    <w:rsid w:val="003229EA"/>
    <w:rsid w:val="00340B8A"/>
    <w:rsid w:val="00372CFC"/>
    <w:rsid w:val="003907A4"/>
    <w:rsid w:val="003A1779"/>
    <w:rsid w:val="003D132A"/>
    <w:rsid w:val="003D598B"/>
    <w:rsid w:val="003E2368"/>
    <w:rsid w:val="003F1D83"/>
    <w:rsid w:val="003F4BE4"/>
    <w:rsid w:val="00400A7C"/>
    <w:rsid w:val="0041639E"/>
    <w:rsid w:val="00440284"/>
    <w:rsid w:val="00490890"/>
    <w:rsid w:val="004B2EA8"/>
    <w:rsid w:val="0050761D"/>
    <w:rsid w:val="0052482A"/>
    <w:rsid w:val="00574EB0"/>
    <w:rsid w:val="005A1772"/>
    <w:rsid w:val="005E6877"/>
    <w:rsid w:val="0060750E"/>
    <w:rsid w:val="006460FC"/>
    <w:rsid w:val="0065647B"/>
    <w:rsid w:val="00685D00"/>
    <w:rsid w:val="00733DD4"/>
    <w:rsid w:val="007543DB"/>
    <w:rsid w:val="00772631"/>
    <w:rsid w:val="00781C21"/>
    <w:rsid w:val="007B50BF"/>
    <w:rsid w:val="008147C0"/>
    <w:rsid w:val="00827288"/>
    <w:rsid w:val="008750BA"/>
    <w:rsid w:val="008D0332"/>
    <w:rsid w:val="008D1314"/>
    <w:rsid w:val="008F01A2"/>
    <w:rsid w:val="009B1F3D"/>
    <w:rsid w:val="009C1696"/>
    <w:rsid w:val="009C3F95"/>
    <w:rsid w:val="009C4552"/>
    <w:rsid w:val="00A1163B"/>
    <w:rsid w:val="00A47F88"/>
    <w:rsid w:val="00A6471B"/>
    <w:rsid w:val="00B055ED"/>
    <w:rsid w:val="00B178FE"/>
    <w:rsid w:val="00B55230"/>
    <w:rsid w:val="00B67B3C"/>
    <w:rsid w:val="00B8797E"/>
    <w:rsid w:val="00BE3041"/>
    <w:rsid w:val="00C02A5F"/>
    <w:rsid w:val="00C7046C"/>
    <w:rsid w:val="00C86551"/>
    <w:rsid w:val="00CA74AD"/>
    <w:rsid w:val="00CC47BF"/>
    <w:rsid w:val="00D7131E"/>
    <w:rsid w:val="00D85651"/>
    <w:rsid w:val="00DA4249"/>
    <w:rsid w:val="00DB6692"/>
    <w:rsid w:val="00E003F5"/>
    <w:rsid w:val="00E008D3"/>
    <w:rsid w:val="00E02212"/>
    <w:rsid w:val="00E245A9"/>
    <w:rsid w:val="00E626CC"/>
    <w:rsid w:val="00E71A27"/>
    <w:rsid w:val="00E75EDD"/>
    <w:rsid w:val="00E7629F"/>
    <w:rsid w:val="00E82FCF"/>
    <w:rsid w:val="00E86DA1"/>
    <w:rsid w:val="00E94599"/>
    <w:rsid w:val="00E95446"/>
    <w:rsid w:val="00EB4625"/>
    <w:rsid w:val="00ED2570"/>
    <w:rsid w:val="00ED2C5F"/>
    <w:rsid w:val="00F0371E"/>
    <w:rsid w:val="00F04383"/>
    <w:rsid w:val="00F44F21"/>
    <w:rsid w:val="00F50ECF"/>
    <w:rsid w:val="00F6766B"/>
    <w:rsid w:val="00FA20D5"/>
    <w:rsid w:val="00FB724A"/>
    <w:rsid w:val="00FD5F3B"/>
    <w:rsid w:val="00FE6BFB"/>
    <w:rsid w:val="00FE7B48"/>
    <w:rsid w:val="40F30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D1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79"/>
    <w:pPr>
      <w:ind w:leftChars="200" w:left="480"/>
    </w:pPr>
  </w:style>
  <w:style w:type="paragraph" w:styleId="Header">
    <w:name w:val="header"/>
    <w:basedOn w:val="Normal"/>
    <w:link w:val="HeaderChar"/>
    <w:uiPriority w:val="99"/>
    <w:unhideWhenUsed/>
    <w:rsid w:val="00E008D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08D3"/>
    <w:rPr>
      <w:sz w:val="20"/>
      <w:szCs w:val="20"/>
    </w:rPr>
  </w:style>
  <w:style w:type="paragraph" w:styleId="Footer">
    <w:name w:val="footer"/>
    <w:basedOn w:val="Normal"/>
    <w:link w:val="FooterChar"/>
    <w:uiPriority w:val="99"/>
    <w:unhideWhenUsed/>
    <w:rsid w:val="00E008D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08D3"/>
    <w:rPr>
      <w:sz w:val="20"/>
      <w:szCs w:val="20"/>
    </w:rPr>
  </w:style>
  <w:style w:type="paragraph" w:styleId="BalloonText">
    <w:name w:val="Balloon Text"/>
    <w:basedOn w:val="Normal"/>
    <w:link w:val="BalloonTextChar"/>
    <w:uiPriority w:val="99"/>
    <w:semiHidden/>
    <w:unhideWhenUsed/>
    <w:rsid w:val="001F54C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F54C3"/>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733DD4"/>
    <w:rPr>
      <w:sz w:val="16"/>
      <w:szCs w:val="16"/>
    </w:rPr>
  </w:style>
  <w:style w:type="paragraph" w:styleId="CommentText">
    <w:name w:val="annotation text"/>
    <w:basedOn w:val="Normal"/>
    <w:link w:val="CommentTextChar"/>
    <w:uiPriority w:val="99"/>
    <w:semiHidden/>
    <w:unhideWhenUsed/>
    <w:rsid w:val="00733DD4"/>
    <w:rPr>
      <w:sz w:val="20"/>
      <w:szCs w:val="20"/>
    </w:rPr>
  </w:style>
  <w:style w:type="character" w:customStyle="1" w:styleId="CommentTextChar">
    <w:name w:val="Comment Text Char"/>
    <w:basedOn w:val="DefaultParagraphFont"/>
    <w:link w:val="CommentText"/>
    <w:uiPriority w:val="99"/>
    <w:semiHidden/>
    <w:rsid w:val="00733DD4"/>
    <w:rPr>
      <w:sz w:val="20"/>
      <w:szCs w:val="20"/>
    </w:rPr>
  </w:style>
  <w:style w:type="paragraph" w:styleId="CommentSubject">
    <w:name w:val="annotation subject"/>
    <w:basedOn w:val="CommentText"/>
    <w:next w:val="CommentText"/>
    <w:link w:val="CommentSubjectChar"/>
    <w:uiPriority w:val="99"/>
    <w:semiHidden/>
    <w:unhideWhenUsed/>
    <w:rsid w:val="00733DD4"/>
    <w:rPr>
      <w:b/>
      <w:bCs/>
    </w:rPr>
  </w:style>
  <w:style w:type="character" w:customStyle="1" w:styleId="CommentSubjectChar">
    <w:name w:val="Comment Subject Char"/>
    <w:basedOn w:val="CommentTextChar"/>
    <w:link w:val="CommentSubject"/>
    <w:uiPriority w:val="99"/>
    <w:semiHidden/>
    <w:rsid w:val="00733DD4"/>
    <w:rPr>
      <w:b/>
      <w:bCs/>
      <w:sz w:val="20"/>
      <w:szCs w:val="20"/>
    </w:rPr>
  </w:style>
  <w:style w:type="paragraph" w:styleId="Revision">
    <w:name w:val="Revision"/>
    <w:hidden/>
    <w:uiPriority w:val="99"/>
    <w:semiHidden/>
    <w:rsid w:val="0073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331b5c7bbeb143ed"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apec.org/Publications/2017/11/APEC-Gender-Inclusion-Guideli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2020-02-17T10:17:00Z</dcterms:created>
  <dcterms:modified xsi:type="dcterms:W3CDTF">2020-02-18T02:05:00Z</dcterms:modified>
</cp:coreProperties>
</file>