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DA" w:rsidRPr="001635B7" w:rsidRDefault="000B49D2" w:rsidP="00035452">
      <w:pPr>
        <w:spacing w:afterLines="120" w:after="288" w:line="276" w:lineRule="auto"/>
        <w:contextualSpacing/>
        <w:jc w:val="center"/>
        <w:rPr>
          <w:rFonts w:eastAsia="Calibri"/>
          <w:b/>
          <w:u w:val="single"/>
        </w:rPr>
      </w:pPr>
      <w:r w:rsidRPr="001635B7">
        <w:rPr>
          <w:rFonts w:eastAsia="Calibri"/>
          <w:b/>
          <w:u w:val="single"/>
        </w:rPr>
        <w:t xml:space="preserve">Eligibility Criteria and Guidelines </w:t>
      </w:r>
    </w:p>
    <w:p w:rsidR="000B49D2" w:rsidRPr="001635B7" w:rsidRDefault="000B49D2" w:rsidP="00035452">
      <w:pPr>
        <w:spacing w:afterLines="120" w:after="288" w:line="276" w:lineRule="auto"/>
        <w:contextualSpacing/>
        <w:jc w:val="center"/>
        <w:rPr>
          <w:rFonts w:eastAsia="Calibri"/>
          <w:b/>
          <w:u w:val="single"/>
        </w:rPr>
      </w:pPr>
      <w:r w:rsidRPr="001635B7">
        <w:rPr>
          <w:rFonts w:eastAsia="Calibri"/>
          <w:b/>
          <w:u w:val="single"/>
        </w:rPr>
        <w:t xml:space="preserve">for Accessing the </w:t>
      </w:r>
      <w:r w:rsidR="009C3183" w:rsidRPr="001635B7">
        <w:rPr>
          <w:rFonts w:eastAsia="Calibri"/>
          <w:b/>
          <w:u w:val="single"/>
        </w:rPr>
        <w:t xml:space="preserve">Marine Debris </w:t>
      </w:r>
      <w:r w:rsidR="000E6609" w:rsidRPr="001635B7">
        <w:rPr>
          <w:rFonts w:eastAsia="Calibri"/>
          <w:b/>
          <w:u w:val="single"/>
        </w:rPr>
        <w:t>Management and Innovation</w:t>
      </w:r>
      <w:r w:rsidRPr="001635B7">
        <w:rPr>
          <w:rFonts w:eastAsia="Calibri"/>
          <w:b/>
          <w:u w:val="single"/>
        </w:rPr>
        <w:t xml:space="preserve"> Sub-</w:t>
      </w:r>
      <w:r w:rsidR="009109DA" w:rsidRPr="001635B7">
        <w:rPr>
          <w:rFonts w:eastAsia="Calibri"/>
          <w:b/>
          <w:u w:val="single"/>
        </w:rPr>
        <w:t>F</w:t>
      </w:r>
      <w:r w:rsidRPr="001635B7">
        <w:rPr>
          <w:rFonts w:eastAsia="Calibri"/>
          <w:b/>
          <w:u w:val="single"/>
        </w:rPr>
        <w:t>und</w:t>
      </w:r>
    </w:p>
    <w:p w:rsidR="000B49D2" w:rsidRPr="009109DA" w:rsidRDefault="000B49D2" w:rsidP="00035452">
      <w:pPr>
        <w:spacing w:afterLines="120" w:after="288" w:line="276" w:lineRule="auto"/>
        <w:contextualSpacing/>
        <w:jc w:val="both"/>
        <w:rPr>
          <w:rFonts w:eastAsia="Calibri"/>
        </w:rPr>
      </w:pPr>
    </w:p>
    <w:p w:rsidR="000B49D2" w:rsidRPr="009109DA" w:rsidRDefault="000B49D2" w:rsidP="00035452">
      <w:pPr>
        <w:spacing w:afterLines="120" w:after="288" w:line="276" w:lineRule="auto"/>
        <w:contextualSpacing/>
        <w:jc w:val="both"/>
        <w:rPr>
          <w:rFonts w:eastAsia="Calibri"/>
        </w:rPr>
      </w:pPr>
      <w:r w:rsidRPr="009109DA">
        <w:rPr>
          <w:rFonts w:eastAsia="Calibri"/>
        </w:rPr>
        <w:t xml:space="preserve">This paper sets out the </w:t>
      </w:r>
      <w:r w:rsidRPr="008C70A6">
        <w:rPr>
          <w:rFonts w:eastAsia="Calibri"/>
        </w:rPr>
        <w:t xml:space="preserve">governance arrangements </w:t>
      </w:r>
      <w:r w:rsidR="009109DA" w:rsidRPr="008C70A6">
        <w:rPr>
          <w:rFonts w:eastAsia="Calibri"/>
        </w:rPr>
        <w:t xml:space="preserve">and eligibility criteria </w:t>
      </w:r>
      <w:r w:rsidRPr="008C70A6">
        <w:rPr>
          <w:rFonts w:eastAsia="Calibri"/>
        </w:rPr>
        <w:t xml:space="preserve">for the </w:t>
      </w:r>
      <w:r w:rsidR="009C3183" w:rsidRPr="009109DA">
        <w:rPr>
          <w:rFonts w:eastAsia="Calibri"/>
        </w:rPr>
        <w:t xml:space="preserve">Marine Debris Management and Innovation (MDMI) </w:t>
      </w:r>
      <w:r w:rsidRPr="009109DA">
        <w:rPr>
          <w:rFonts w:eastAsia="Calibri"/>
        </w:rPr>
        <w:t>Sub-</w:t>
      </w:r>
      <w:r w:rsidR="007F404A">
        <w:rPr>
          <w:rFonts w:eastAsia="Calibri"/>
        </w:rPr>
        <w:t>f</w:t>
      </w:r>
      <w:r w:rsidRPr="009109DA">
        <w:rPr>
          <w:rFonts w:eastAsia="Calibri"/>
        </w:rPr>
        <w:t xml:space="preserve">und.  </w:t>
      </w:r>
    </w:p>
    <w:p w:rsidR="000B49D2" w:rsidRPr="009109DA" w:rsidRDefault="000B49D2" w:rsidP="00035452">
      <w:pPr>
        <w:spacing w:afterLines="120" w:after="288" w:line="276" w:lineRule="auto"/>
        <w:contextualSpacing/>
        <w:jc w:val="both"/>
        <w:rPr>
          <w:rFonts w:eastAsia="Calibri"/>
          <w:b/>
          <w:u w:val="single"/>
        </w:rPr>
      </w:pPr>
    </w:p>
    <w:p w:rsidR="00905FCC" w:rsidRPr="009109DA" w:rsidRDefault="00905FCC" w:rsidP="00035452">
      <w:pPr>
        <w:spacing w:afterLines="120" w:after="288" w:line="276" w:lineRule="auto"/>
        <w:contextualSpacing/>
        <w:jc w:val="both"/>
        <w:rPr>
          <w:rFonts w:eastAsia="Calibri"/>
          <w:b/>
          <w:u w:val="single"/>
        </w:rPr>
      </w:pPr>
      <w:r w:rsidRPr="009109DA">
        <w:rPr>
          <w:rFonts w:eastAsia="Calibri"/>
          <w:b/>
          <w:u w:val="single"/>
        </w:rPr>
        <w:t xml:space="preserve">Scope </w:t>
      </w:r>
    </w:p>
    <w:p w:rsidR="00905FCC" w:rsidRPr="009109DA" w:rsidRDefault="00905FCC" w:rsidP="00035452">
      <w:pPr>
        <w:spacing w:afterLines="120" w:after="288" w:line="276" w:lineRule="auto"/>
        <w:contextualSpacing/>
        <w:jc w:val="both"/>
        <w:rPr>
          <w:rFonts w:eastAsia="Calibri"/>
          <w:b/>
          <w:u w:val="single"/>
        </w:rPr>
      </w:pPr>
    </w:p>
    <w:p w:rsidR="009109DA" w:rsidRDefault="009109DA" w:rsidP="00035452">
      <w:pPr>
        <w:spacing w:afterLines="120" w:after="288" w:line="276" w:lineRule="auto"/>
        <w:contextualSpacing/>
        <w:jc w:val="both"/>
        <w:rPr>
          <w:rFonts w:eastAsia="Calibri"/>
        </w:rPr>
      </w:pPr>
      <w:r w:rsidRPr="00F52E80">
        <w:t xml:space="preserve">The </w:t>
      </w:r>
      <w:r>
        <w:t>MDMI Sub-</w:t>
      </w:r>
      <w:r w:rsidR="007F404A">
        <w:t>f</w:t>
      </w:r>
      <w:r w:rsidRPr="00F52E80">
        <w:t xml:space="preserve">und supports APEC’s strategic objective of supporting balanced, inclusive, sustainable, innovative, and secure growth. </w:t>
      </w:r>
      <w:r w:rsidR="00905FCC" w:rsidRPr="008C70A6">
        <w:rPr>
          <w:rFonts w:eastAsia="Calibri"/>
        </w:rPr>
        <w:t>Th</w:t>
      </w:r>
      <w:r>
        <w:rPr>
          <w:rFonts w:eastAsia="Calibri"/>
        </w:rPr>
        <w:t>e</w:t>
      </w:r>
      <w:r w:rsidR="00905FCC" w:rsidRPr="008C70A6">
        <w:rPr>
          <w:rFonts w:eastAsia="Calibri"/>
        </w:rPr>
        <w:t xml:space="preserve"> </w:t>
      </w:r>
      <w:r w:rsidR="007F404A">
        <w:rPr>
          <w:rFonts w:eastAsia="Calibri"/>
        </w:rPr>
        <w:t>S</w:t>
      </w:r>
      <w:r w:rsidR="00905FCC" w:rsidRPr="008C70A6">
        <w:rPr>
          <w:rFonts w:eastAsia="Calibri"/>
        </w:rPr>
        <w:t xml:space="preserve">ub-fund aims to institutionalize and provide ongoing support to advance APEC’s objectives of </w:t>
      </w:r>
      <w:r w:rsidR="009C2A6C" w:rsidRPr="008C70A6">
        <w:rPr>
          <w:rFonts w:eastAsia="Calibri"/>
        </w:rPr>
        <w:t>reducing marine debris</w:t>
      </w:r>
      <w:r>
        <w:rPr>
          <w:rFonts w:eastAsia="Calibri"/>
        </w:rPr>
        <w:t xml:space="preserve"> to promote sustainable development</w:t>
      </w:r>
      <w:r w:rsidR="00905FCC" w:rsidRPr="008C70A6">
        <w:rPr>
          <w:rFonts w:eastAsia="Calibri"/>
        </w:rPr>
        <w:t xml:space="preserve">.  It will support initiatives related to </w:t>
      </w:r>
      <w:r>
        <w:rPr>
          <w:rFonts w:eastAsia="Calibri"/>
        </w:rPr>
        <w:t>improving management of land and sea based sources of marine debris and promoting development of technical and financial innovations to prevent and reduce marine debris</w:t>
      </w:r>
      <w:r w:rsidR="00905FCC" w:rsidRPr="008C70A6">
        <w:rPr>
          <w:rFonts w:eastAsia="Calibri"/>
        </w:rPr>
        <w:t xml:space="preserve">.  </w:t>
      </w:r>
    </w:p>
    <w:p w:rsidR="00905FCC" w:rsidRPr="009109DA" w:rsidRDefault="00905FCC" w:rsidP="00035452">
      <w:pPr>
        <w:spacing w:afterLines="120" w:after="288" w:line="276" w:lineRule="auto"/>
        <w:contextualSpacing/>
        <w:jc w:val="both"/>
        <w:rPr>
          <w:rFonts w:eastAsia="Calibri"/>
        </w:rPr>
      </w:pPr>
    </w:p>
    <w:p w:rsidR="00905FCC" w:rsidRPr="008C70A6" w:rsidRDefault="00905FCC" w:rsidP="00035452">
      <w:pPr>
        <w:shd w:val="clear" w:color="auto" w:fill="FFFFFF"/>
        <w:spacing w:after="120" w:line="276" w:lineRule="auto"/>
        <w:jc w:val="both"/>
        <w:rPr>
          <w:rFonts w:eastAsia="Calibri"/>
          <w:b/>
          <w:u w:val="single"/>
        </w:rPr>
      </w:pPr>
      <w:r w:rsidRPr="008C70A6">
        <w:rPr>
          <w:rFonts w:eastAsia="Calibri"/>
        </w:rPr>
        <w:t xml:space="preserve">The </w:t>
      </w:r>
      <w:r w:rsidR="008C70A6">
        <w:rPr>
          <w:rFonts w:eastAsia="Calibri"/>
        </w:rPr>
        <w:t xml:space="preserve">APEC </w:t>
      </w:r>
      <w:r w:rsidR="00D109CD" w:rsidRPr="008C70A6">
        <w:rPr>
          <w:rFonts w:eastAsia="Calibri"/>
        </w:rPr>
        <w:t>O</w:t>
      </w:r>
      <w:r w:rsidR="008C70A6">
        <w:rPr>
          <w:rFonts w:eastAsia="Calibri"/>
        </w:rPr>
        <w:t xml:space="preserve">ceans and Fisheries Working Group (OFWG) will undertake the duties as the Responsible APEC Forum as set out in the Guidebook on APEC Projects with respect to the MDMI Sub-fund.  </w:t>
      </w:r>
    </w:p>
    <w:p w:rsidR="000B49D2" w:rsidRPr="009109DA" w:rsidRDefault="000B49D2" w:rsidP="00035452">
      <w:pPr>
        <w:spacing w:afterLines="120" w:after="288" w:line="276" w:lineRule="auto"/>
        <w:contextualSpacing/>
        <w:jc w:val="both"/>
        <w:rPr>
          <w:rFonts w:eastAsia="Calibri"/>
        </w:rPr>
      </w:pPr>
    </w:p>
    <w:p w:rsidR="000B49D2" w:rsidRPr="008C70A6" w:rsidRDefault="00905FCC" w:rsidP="008C70A6">
      <w:pPr>
        <w:jc w:val="both"/>
        <w:rPr>
          <w:rFonts w:eastAsia="Calibri"/>
          <w:b/>
          <w:u w:val="single"/>
        </w:rPr>
      </w:pPr>
      <w:r w:rsidRPr="009109DA">
        <w:rPr>
          <w:rFonts w:eastAsia="Calibri"/>
          <w:b/>
          <w:u w:val="single"/>
        </w:rPr>
        <w:t>Criteria</w:t>
      </w:r>
      <w:r w:rsidR="000B49D2" w:rsidRPr="009109DA">
        <w:rPr>
          <w:rFonts w:eastAsia="Calibri"/>
          <w:b/>
          <w:u w:val="single"/>
        </w:rPr>
        <w:t xml:space="preserve"> for Accessing the </w:t>
      </w:r>
      <w:r w:rsidR="00D109CD" w:rsidRPr="008C70A6">
        <w:rPr>
          <w:rFonts w:eastAsia="Calibri"/>
          <w:b/>
          <w:u w:val="single"/>
        </w:rPr>
        <w:t>Marine Debris Management and Innovation Sub-fund</w:t>
      </w:r>
    </w:p>
    <w:p w:rsidR="00CF0224" w:rsidRPr="008C70A6" w:rsidRDefault="00CF0224" w:rsidP="00035452">
      <w:pPr>
        <w:spacing w:afterLines="120" w:after="288" w:line="276" w:lineRule="auto"/>
        <w:contextualSpacing/>
        <w:jc w:val="both"/>
        <w:rPr>
          <w:rFonts w:eastAsia="Calibri"/>
          <w:b/>
          <w:u w:val="single"/>
        </w:rPr>
      </w:pPr>
    </w:p>
    <w:p w:rsidR="008C70A6" w:rsidRDefault="000B49D2" w:rsidP="00035452">
      <w:pPr>
        <w:spacing w:afterLines="120" w:after="288" w:line="276" w:lineRule="auto"/>
        <w:contextualSpacing/>
        <w:jc w:val="both"/>
        <w:rPr>
          <w:rFonts w:eastAsia="Calibri"/>
        </w:rPr>
      </w:pPr>
      <w:r w:rsidRPr="008C70A6">
        <w:rPr>
          <w:rFonts w:eastAsia="Calibri"/>
        </w:rPr>
        <w:t>Any interested economy, within any APEC fora, may submit Concept Notes</w:t>
      </w:r>
      <w:r w:rsidR="008F762A" w:rsidRPr="008C70A6">
        <w:rPr>
          <w:rFonts w:eastAsia="Calibri"/>
        </w:rPr>
        <w:t xml:space="preserve"> (CNs)</w:t>
      </w:r>
      <w:r w:rsidRPr="008C70A6">
        <w:rPr>
          <w:rFonts w:eastAsia="Calibri"/>
        </w:rPr>
        <w:t xml:space="preserve"> which fall within the scope </w:t>
      </w:r>
      <w:r w:rsidR="003423AD" w:rsidRPr="009109DA">
        <w:rPr>
          <w:rFonts w:eastAsia="Calibri"/>
        </w:rPr>
        <w:t xml:space="preserve">and eligibility criteria </w:t>
      </w:r>
      <w:r w:rsidRPr="009109DA">
        <w:rPr>
          <w:rFonts w:eastAsia="Calibri"/>
        </w:rPr>
        <w:t xml:space="preserve">of the </w:t>
      </w:r>
      <w:r w:rsidR="008C70A6">
        <w:rPr>
          <w:rFonts w:eastAsia="Calibri"/>
        </w:rPr>
        <w:t>MDMI</w:t>
      </w:r>
      <w:r w:rsidR="000E6609" w:rsidRPr="008C70A6">
        <w:rPr>
          <w:rFonts w:eastAsia="Calibri"/>
        </w:rPr>
        <w:t xml:space="preserve"> Sub-fund</w:t>
      </w:r>
      <w:r w:rsidR="00AF3A3E" w:rsidRPr="008C70A6">
        <w:rPr>
          <w:rFonts w:eastAsia="Calibri"/>
        </w:rPr>
        <w:t xml:space="preserve">.  </w:t>
      </w:r>
    </w:p>
    <w:p w:rsidR="008C70A6" w:rsidRDefault="008C70A6" w:rsidP="00035452">
      <w:pPr>
        <w:spacing w:afterLines="120" w:after="288" w:line="276" w:lineRule="auto"/>
        <w:contextualSpacing/>
        <w:jc w:val="both"/>
        <w:rPr>
          <w:rFonts w:eastAsia="Calibri"/>
        </w:rPr>
      </w:pPr>
    </w:p>
    <w:p w:rsidR="000B49D2" w:rsidRPr="009109DA" w:rsidRDefault="00AF3A3E" w:rsidP="00035452">
      <w:pPr>
        <w:spacing w:afterLines="120" w:after="288" w:line="276" w:lineRule="auto"/>
        <w:contextualSpacing/>
        <w:jc w:val="both"/>
        <w:rPr>
          <w:rFonts w:eastAsia="Calibri"/>
        </w:rPr>
      </w:pPr>
      <w:r w:rsidRPr="008C70A6">
        <w:rPr>
          <w:rFonts w:eastAsia="Calibri"/>
        </w:rPr>
        <w:t>T</w:t>
      </w:r>
      <w:r w:rsidR="000B49D2" w:rsidRPr="008C70A6">
        <w:rPr>
          <w:rFonts w:eastAsia="Calibri"/>
        </w:rPr>
        <w:t>o be considered</w:t>
      </w:r>
      <w:r w:rsidRPr="008C70A6">
        <w:rPr>
          <w:rFonts w:eastAsia="Calibri"/>
        </w:rPr>
        <w:t xml:space="preserve"> eligible</w:t>
      </w:r>
      <w:r w:rsidR="000B49D2" w:rsidRPr="008C70A6">
        <w:rPr>
          <w:rFonts w:eastAsia="Calibri"/>
        </w:rPr>
        <w:t xml:space="preserve"> for the </w:t>
      </w:r>
      <w:r w:rsidR="008C70A6">
        <w:rPr>
          <w:rFonts w:eastAsia="Calibri"/>
        </w:rPr>
        <w:t>MDMI</w:t>
      </w:r>
      <w:r w:rsidR="000B49D2" w:rsidRPr="008C70A6">
        <w:rPr>
          <w:rFonts w:eastAsia="Calibri"/>
        </w:rPr>
        <w:t xml:space="preserve"> Sub-</w:t>
      </w:r>
      <w:r w:rsidR="00137ED8" w:rsidRPr="008C70A6">
        <w:rPr>
          <w:rFonts w:eastAsia="Calibri"/>
        </w:rPr>
        <w:t>f</w:t>
      </w:r>
      <w:r w:rsidR="000B49D2" w:rsidRPr="008C70A6">
        <w:rPr>
          <w:rFonts w:eastAsia="Calibri"/>
        </w:rPr>
        <w:t xml:space="preserve">und, </w:t>
      </w:r>
      <w:r w:rsidR="008F762A" w:rsidRPr="008C70A6">
        <w:rPr>
          <w:rFonts w:eastAsia="Calibri"/>
        </w:rPr>
        <w:t xml:space="preserve">CNs </w:t>
      </w:r>
      <w:r w:rsidR="000B49D2" w:rsidRPr="008C70A6">
        <w:rPr>
          <w:rFonts w:eastAsia="Calibri"/>
        </w:rPr>
        <w:t>must:</w:t>
      </w:r>
    </w:p>
    <w:p w:rsidR="00EC09CB" w:rsidRPr="009109DA" w:rsidRDefault="00EC09CB" w:rsidP="00035452">
      <w:pPr>
        <w:spacing w:afterLines="120" w:after="288" w:line="276" w:lineRule="auto"/>
        <w:contextualSpacing/>
        <w:jc w:val="both"/>
        <w:rPr>
          <w:rFonts w:eastAsia="Calibri"/>
        </w:rPr>
      </w:pPr>
    </w:p>
    <w:p w:rsidR="008C70A6" w:rsidRPr="009109DA" w:rsidRDefault="000B49D2" w:rsidP="00035452">
      <w:pPr>
        <w:numPr>
          <w:ilvl w:val="0"/>
          <w:numId w:val="10"/>
        </w:numPr>
        <w:spacing w:afterLines="120" w:after="288" w:line="276" w:lineRule="auto"/>
        <w:contextualSpacing/>
        <w:jc w:val="both"/>
        <w:rPr>
          <w:rFonts w:eastAsia="Calibri"/>
        </w:rPr>
      </w:pPr>
      <w:r w:rsidRPr="008C70A6">
        <w:rPr>
          <w:rFonts w:eastAsia="PMingLiU"/>
          <w:lang w:val="en-SG" w:eastAsia="zh-TW"/>
        </w:rPr>
        <w:t xml:space="preserve">Deliver capacity building activities </w:t>
      </w:r>
      <w:r w:rsidR="001F5247">
        <w:rPr>
          <w:rFonts w:eastAsia="PMingLiU"/>
          <w:lang w:val="en-SG" w:eastAsia="zh-TW"/>
        </w:rPr>
        <w:t xml:space="preserve">that inform efforts to reduce and prevent marine debris </w:t>
      </w:r>
      <w:r w:rsidRPr="008C70A6">
        <w:rPr>
          <w:rFonts w:eastAsia="PMingLiU"/>
          <w:lang w:val="en-SG" w:eastAsia="zh-TW"/>
        </w:rPr>
        <w:t xml:space="preserve">in </w:t>
      </w:r>
      <w:r w:rsidR="007B5A3D" w:rsidRPr="008C70A6">
        <w:rPr>
          <w:rFonts w:eastAsia="PMingLiU"/>
          <w:lang w:val="en-SG" w:eastAsia="zh-TW"/>
        </w:rPr>
        <w:t xml:space="preserve">one or more </w:t>
      </w:r>
      <w:r w:rsidRPr="008C70A6">
        <w:rPr>
          <w:rFonts w:eastAsia="PMingLiU"/>
          <w:lang w:val="en-SG" w:eastAsia="zh-TW"/>
        </w:rPr>
        <w:t>APEC developing economies</w:t>
      </w:r>
      <w:r w:rsidR="001635B7">
        <w:rPr>
          <w:rFonts w:eastAsia="PMingLiU"/>
          <w:lang w:val="en-SG" w:eastAsia="zh-TW"/>
        </w:rPr>
        <w:t>,</w:t>
      </w:r>
      <w:r w:rsidR="007B5A3D" w:rsidRPr="008C70A6">
        <w:rPr>
          <w:rFonts w:eastAsia="PMingLiU"/>
          <w:lang w:val="en-SG" w:eastAsia="zh-TW"/>
        </w:rPr>
        <w:t xml:space="preserve"> with lessons applicable for APEC members more broadly.</w:t>
      </w:r>
    </w:p>
    <w:p w:rsidR="005A63E5" w:rsidRPr="008C70A6" w:rsidRDefault="005A63E5" w:rsidP="00035452">
      <w:pPr>
        <w:spacing w:afterLines="120" w:after="288" w:line="276" w:lineRule="auto"/>
        <w:ind w:left="360"/>
        <w:contextualSpacing/>
        <w:jc w:val="both"/>
        <w:rPr>
          <w:rFonts w:eastAsia="Calibri"/>
        </w:rPr>
      </w:pPr>
    </w:p>
    <w:p w:rsidR="000B49D2" w:rsidRPr="009109DA" w:rsidRDefault="007B5A3D" w:rsidP="00035452">
      <w:pPr>
        <w:numPr>
          <w:ilvl w:val="0"/>
          <w:numId w:val="10"/>
        </w:numPr>
        <w:spacing w:afterLines="120" w:after="288" w:line="276" w:lineRule="auto"/>
        <w:contextualSpacing/>
        <w:jc w:val="both"/>
        <w:rPr>
          <w:rFonts w:eastAsia="Calibri"/>
        </w:rPr>
      </w:pPr>
      <w:r w:rsidRPr="009109DA">
        <w:rPr>
          <w:rFonts w:eastAsia="PMingLiU"/>
          <w:lang w:val="en-SG" w:eastAsia="zh-TW"/>
        </w:rPr>
        <w:t>Build</w:t>
      </w:r>
      <w:r w:rsidR="000B49D2" w:rsidRPr="009109DA">
        <w:rPr>
          <w:rFonts w:eastAsia="PMingLiU"/>
          <w:lang w:val="en-SG" w:eastAsia="zh-TW"/>
        </w:rPr>
        <w:t xml:space="preserve"> capacity of</w:t>
      </w:r>
      <w:r w:rsidRPr="009109DA">
        <w:rPr>
          <w:rFonts w:eastAsia="PMingLiU"/>
          <w:lang w:val="en-SG" w:eastAsia="zh-TW"/>
        </w:rPr>
        <w:t xml:space="preserve"> individuals,</w:t>
      </w:r>
      <w:r w:rsidR="000B49D2" w:rsidRPr="009109DA">
        <w:rPr>
          <w:rFonts w:eastAsia="PMingLiU"/>
          <w:lang w:val="en-SG" w:eastAsia="zh-TW"/>
        </w:rPr>
        <w:t xml:space="preserve"> local businesses</w:t>
      </w:r>
      <w:r w:rsidRPr="009109DA">
        <w:rPr>
          <w:rFonts w:eastAsia="PMingLiU"/>
          <w:lang w:val="en-SG" w:eastAsia="zh-TW"/>
        </w:rPr>
        <w:t>,</w:t>
      </w:r>
      <w:r w:rsidR="005A63E5" w:rsidRPr="009109DA">
        <w:rPr>
          <w:rFonts w:eastAsia="PMingLiU"/>
          <w:lang w:val="en-SG" w:eastAsia="zh-TW"/>
        </w:rPr>
        <w:t xml:space="preserve"> non-gover</w:t>
      </w:r>
      <w:r w:rsidR="00B067D4">
        <w:rPr>
          <w:rFonts w:eastAsia="PMingLiU"/>
          <w:lang w:val="en-SG" w:eastAsia="zh-TW"/>
        </w:rPr>
        <w:t>n</w:t>
      </w:r>
      <w:r w:rsidR="005A63E5" w:rsidRPr="009109DA">
        <w:rPr>
          <w:rFonts w:eastAsia="PMingLiU"/>
          <w:lang w:val="en-SG" w:eastAsia="zh-TW"/>
        </w:rPr>
        <w:t>mental organizations, business associations, civil society organizations,</w:t>
      </w:r>
      <w:r w:rsidRPr="009109DA">
        <w:rPr>
          <w:rFonts w:eastAsia="PMingLiU"/>
          <w:lang w:val="en-SG" w:eastAsia="zh-TW"/>
        </w:rPr>
        <w:t xml:space="preserve"> </w:t>
      </w:r>
      <w:r w:rsidR="000B49D2" w:rsidRPr="009109DA">
        <w:rPr>
          <w:rFonts w:eastAsia="PMingLiU"/>
          <w:lang w:val="en-SG" w:eastAsia="zh-TW"/>
        </w:rPr>
        <w:t xml:space="preserve">and/or </w:t>
      </w:r>
      <w:r w:rsidRPr="009109DA">
        <w:rPr>
          <w:rFonts w:eastAsia="PMingLiU"/>
          <w:lang w:val="en-SG" w:eastAsia="zh-TW"/>
        </w:rPr>
        <w:t xml:space="preserve">government officials and institutions charged with implementing programs or policies </w:t>
      </w:r>
      <w:r w:rsidR="00FB22FA" w:rsidRPr="009109DA">
        <w:rPr>
          <w:rFonts w:eastAsia="PMingLiU"/>
          <w:lang w:val="en-SG" w:eastAsia="zh-TW"/>
        </w:rPr>
        <w:t xml:space="preserve">focused on </w:t>
      </w:r>
      <w:r w:rsidR="001F5247">
        <w:rPr>
          <w:rFonts w:eastAsia="PMingLiU"/>
          <w:lang w:val="en-SG" w:eastAsia="zh-TW"/>
        </w:rPr>
        <w:t xml:space="preserve">managing land and sea based </w:t>
      </w:r>
      <w:r w:rsidR="001635B7">
        <w:rPr>
          <w:rFonts w:eastAsia="PMingLiU"/>
          <w:lang w:val="en-SG" w:eastAsia="zh-TW"/>
        </w:rPr>
        <w:t xml:space="preserve">plastic </w:t>
      </w:r>
      <w:r w:rsidR="001F5247">
        <w:rPr>
          <w:rFonts w:eastAsia="PMingLiU"/>
          <w:lang w:val="en-SG" w:eastAsia="zh-TW"/>
        </w:rPr>
        <w:t>waste</w:t>
      </w:r>
      <w:r w:rsidR="00FB22FA" w:rsidRPr="009109DA">
        <w:rPr>
          <w:rFonts w:eastAsia="PMingLiU"/>
          <w:lang w:val="en-SG" w:eastAsia="zh-TW"/>
        </w:rPr>
        <w:t xml:space="preserve"> and reducing the impact of marine debris. </w:t>
      </w:r>
    </w:p>
    <w:p w:rsidR="00EC09CB" w:rsidRPr="009109DA" w:rsidRDefault="00EC09CB" w:rsidP="00035452">
      <w:pPr>
        <w:spacing w:afterLines="120" w:after="288" w:line="276" w:lineRule="auto"/>
        <w:ind w:left="360"/>
        <w:contextualSpacing/>
        <w:jc w:val="both"/>
        <w:rPr>
          <w:rFonts w:eastAsia="Calibri"/>
        </w:rPr>
      </w:pPr>
    </w:p>
    <w:p w:rsidR="00CC6B85" w:rsidRDefault="00CC6B85" w:rsidP="00035452">
      <w:pPr>
        <w:numPr>
          <w:ilvl w:val="0"/>
          <w:numId w:val="10"/>
        </w:numPr>
        <w:spacing w:afterLines="120" w:after="288" w:line="276" w:lineRule="auto"/>
        <w:contextualSpacing/>
        <w:jc w:val="both"/>
        <w:rPr>
          <w:rFonts w:eastAsia="Calibri"/>
        </w:rPr>
      </w:pPr>
      <w:r>
        <w:rPr>
          <w:rFonts w:eastAsia="Calibri"/>
        </w:rPr>
        <w:t>Support initiatives that inform the</w:t>
      </w:r>
      <w:r w:rsidRPr="008C70A6">
        <w:rPr>
          <w:rFonts w:eastAsia="Calibri"/>
        </w:rPr>
        <w:t xml:space="preserve"> develop</w:t>
      </w:r>
      <w:r>
        <w:rPr>
          <w:rFonts w:eastAsia="Calibri"/>
        </w:rPr>
        <w:t>ment of solid waste management infrastructure</w:t>
      </w:r>
      <w:r w:rsidR="009B69DA">
        <w:rPr>
          <w:rFonts w:eastAsia="Calibri"/>
        </w:rPr>
        <w:t xml:space="preserve"> including</w:t>
      </w:r>
      <w:r w:rsidR="009B69DA" w:rsidRPr="00FB45AA">
        <w:rPr>
          <w:rFonts w:eastAsia="Calibri"/>
        </w:rPr>
        <w:t xml:space="preserve"> stakeholder dialogues on policy and regulatory issues that impact private investment in marine debris and waste management infrastructure</w:t>
      </w:r>
      <w:r>
        <w:rPr>
          <w:rFonts w:eastAsia="Calibri"/>
        </w:rPr>
        <w:t>.</w:t>
      </w:r>
    </w:p>
    <w:p w:rsidR="004A751E" w:rsidRDefault="004A751E" w:rsidP="00035452">
      <w:pPr>
        <w:spacing w:afterLines="120" w:after="288" w:line="276" w:lineRule="auto"/>
        <w:contextualSpacing/>
        <w:jc w:val="both"/>
        <w:rPr>
          <w:rFonts w:eastAsia="Calibri"/>
        </w:rPr>
      </w:pPr>
    </w:p>
    <w:p w:rsidR="00CC6B85" w:rsidRDefault="00CC6B85" w:rsidP="00035452">
      <w:pPr>
        <w:numPr>
          <w:ilvl w:val="0"/>
          <w:numId w:val="10"/>
        </w:numPr>
        <w:spacing w:afterLines="120" w:after="288" w:line="276" w:lineRule="auto"/>
        <w:contextualSpacing/>
        <w:jc w:val="both"/>
        <w:rPr>
          <w:rFonts w:eastAsia="Calibri"/>
        </w:rPr>
      </w:pPr>
      <w:r w:rsidRPr="00CC6B85">
        <w:rPr>
          <w:rFonts w:eastAsia="Calibri"/>
        </w:rPr>
        <w:t xml:space="preserve">Support initiatives that inform the development of </w:t>
      </w:r>
      <w:r>
        <w:rPr>
          <w:rFonts w:eastAsia="Calibri"/>
        </w:rPr>
        <w:t xml:space="preserve">policies, regulations </w:t>
      </w:r>
      <w:r w:rsidRPr="00CC6B85">
        <w:rPr>
          <w:rFonts w:eastAsia="Calibri"/>
        </w:rPr>
        <w:t xml:space="preserve">and </w:t>
      </w:r>
      <w:r>
        <w:rPr>
          <w:rFonts w:eastAsia="Calibri"/>
        </w:rPr>
        <w:t>practices</w:t>
      </w:r>
      <w:r w:rsidRPr="00CC6B85">
        <w:rPr>
          <w:rFonts w:eastAsia="Calibri"/>
        </w:rPr>
        <w:t xml:space="preserve"> to improve solid waste management systems and marine debris management technologies</w:t>
      </w:r>
      <w:r>
        <w:rPr>
          <w:rFonts w:eastAsia="PMingLiU"/>
          <w:lang w:val="en-SG" w:eastAsia="zh-TW"/>
        </w:rPr>
        <w:t>.</w:t>
      </w:r>
    </w:p>
    <w:p w:rsidR="00CC6B85" w:rsidRDefault="00CC6B85" w:rsidP="00035452">
      <w:pPr>
        <w:pStyle w:val="ListParagraph"/>
        <w:rPr>
          <w:rFonts w:eastAsia="Calibri"/>
        </w:rPr>
      </w:pPr>
    </w:p>
    <w:p w:rsidR="00CC6B85" w:rsidRDefault="004A751E" w:rsidP="00035452">
      <w:pPr>
        <w:numPr>
          <w:ilvl w:val="0"/>
          <w:numId w:val="10"/>
        </w:numPr>
        <w:spacing w:afterLines="120" w:after="288" w:line="276" w:lineRule="auto"/>
        <w:contextualSpacing/>
        <w:jc w:val="both"/>
        <w:rPr>
          <w:rFonts w:eastAsia="Calibri"/>
        </w:rPr>
      </w:pPr>
      <w:r>
        <w:rPr>
          <w:rFonts w:eastAsia="Calibri"/>
        </w:rPr>
        <w:t>Promote and b</w:t>
      </w:r>
      <w:r w:rsidR="00CC6B85">
        <w:rPr>
          <w:rFonts w:eastAsia="Calibri"/>
        </w:rPr>
        <w:t>uild capacity of individual</w:t>
      </w:r>
      <w:r>
        <w:rPr>
          <w:rFonts w:eastAsia="Calibri"/>
        </w:rPr>
        <w:t>s and</w:t>
      </w:r>
      <w:r w:rsidR="00CC6B85">
        <w:rPr>
          <w:rFonts w:eastAsia="Calibri"/>
        </w:rPr>
        <w:t xml:space="preserve"> non-government organizations</w:t>
      </w:r>
      <w:r>
        <w:rPr>
          <w:rFonts w:eastAsia="Calibri"/>
        </w:rPr>
        <w:t xml:space="preserve"> to develop technical innovations that create value from plastic waste</w:t>
      </w:r>
      <w:r w:rsidR="00116186">
        <w:rPr>
          <w:rFonts w:eastAsia="Calibri"/>
        </w:rPr>
        <w:t xml:space="preserve"> or that create secondary products from plastic waste</w:t>
      </w:r>
      <w:r>
        <w:rPr>
          <w:rFonts w:eastAsia="Calibri"/>
        </w:rPr>
        <w:t xml:space="preserve"> in order to incentivize plastic waste collection and recycling to prevent and reduce marine debris.</w:t>
      </w:r>
    </w:p>
    <w:p w:rsidR="004A751E" w:rsidRPr="00035452" w:rsidRDefault="004A751E" w:rsidP="00035452">
      <w:pPr>
        <w:spacing w:afterLines="120" w:after="288" w:line="276" w:lineRule="auto"/>
        <w:contextualSpacing/>
        <w:jc w:val="both"/>
        <w:rPr>
          <w:rFonts w:eastAsia="Calibri"/>
        </w:rPr>
      </w:pPr>
    </w:p>
    <w:p w:rsidR="001F5247" w:rsidRPr="00035452" w:rsidRDefault="002B673B">
      <w:pPr>
        <w:numPr>
          <w:ilvl w:val="0"/>
          <w:numId w:val="10"/>
        </w:numPr>
        <w:spacing w:afterLines="120" w:after="288" w:line="276" w:lineRule="auto"/>
        <w:contextualSpacing/>
        <w:jc w:val="both"/>
        <w:rPr>
          <w:rFonts w:eastAsia="PMingLiU"/>
          <w:lang w:val="en-SG" w:eastAsia="zh-TW"/>
        </w:rPr>
      </w:pPr>
      <w:r>
        <w:rPr>
          <w:rFonts w:eastAsia="PMingLiU"/>
          <w:lang w:val="en-SG" w:eastAsia="zh-TW"/>
        </w:rPr>
        <w:t>Increase access to financing and facilitate private sector engagement to promote investment,</w:t>
      </w:r>
      <w:r w:rsidR="007B5A3D" w:rsidRPr="004A751E">
        <w:rPr>
          <w:rFonts w:eastAsia="PMingLiU"/>
          <w:lang w:val="en-SG" w:eastAsia="zh-TW"/>
        </w:rPr>
        <w:t xml:space="preserve"> trade and </w:t>
      </w:r>
      <w:r>
        <w:rPr>
          <w:rFonts w:eastAsia="PMingLiU"/>
          <w:lang w:val="en-SG" w:eastAsia="zh-TW"/>
        </w:rPr>
        <w:t>market creation in industries and activities that enable marine debris management</w:t>
      </w:r>
      <w:r w:rsidR="00DB6F6F">
        <w:rPr>
          <w:rFonts w:eastAsia="PMingLiU"/>
          <w:lang w:val="en-SG" w:eastAsia="zh-TW"/>
        </w:rPr>
        <w:t xml:space="preserve"> </w:t>
      </w:r>
      <w:r>
        <w:rPr>
          <w:rFonts w:eastAsia="PMingLiU"/>
          <w:lang w:val="en-SG" w:eastAsia="zh-TW"/>
        </w:rPr>
        <w:t>and prevention</w:t>
      </w:r>
      <w:r w:rsidR="009B69DA">
        <w:rPr>
          <w:rFonts w:eastAsia="PMingLiU"/>
          <w:lang w:val="en-SG" w:eastAsia="zh-TW"/>
        </w:rPr>
        <w:t>,</w:t>
      </w:r>
      <w:r w:rsidR="001F5247">
        <w:rPr>
          <w:rFonts w:eastAsia="PMingLiU"/>
          <w:lang w:val="en-SG" w:eastAsia="zh-TW"/>
        </w:rPr>
        <w:t xml:space="preserve"> </w:t>
      </w:r>
      <w:r w:rsidR="004A751E">
        <w:rPr>
          <w:rFonts w:eastAsia="PMingLiU"/>
          <w:lang w:val="en-SG" w:eastAsia="zh-TW"/>
        </w:rPr>
        <w:t>and</w:t>
      </w:r>
      <w:r w:rsidR="004A751E" w:rsidRPr="004A751E">
        <w:rPr>
          <w:rFonts w:eastAsia="Calibri"/>
        </w:rPr>
        <w:t xml:space="preserve"> encourage innovative financing mechani</w:t>
      </w:r>
      <w:r w:rsidR="00B067D4">
        <w:rPr>
          <w:rFonts w:eastAsia="Calibri"/>
        </w:rPr>
        <w:t>s</w:t>
      </w:r>
      <w:r w:rsidR="004A751E" w:rsidRPr="004A751E">
        <w:rPr>
          <w:rFonts w:eastAsia="Calibri"/>
        </w:rPr>
        <w:t>ms</w:t>
      </w:r>
      <w:r>
        <w:rPr>
          <w:rFonts w:eastAsia="Calibri"/>
        </w:rPr>
        <w:t xml:space="preserve"> </w:t>
      </w:r>
      <w:r w:rsidR="004A751E" w:rsidRPr="004A751E">
        <w:rPr>
          <w:rFonts w:eastAsia="Calibri"/>
        </w:rPr>
        <w:t>to fund waste management systems and infrastructure.</w:t>
      </w:r>
    </w:p>
    <w:p w:rsidR="004A751E" w:rsidRDefault="004A751E" w:rsidP="00035452">
      <w:pPr>
        <w:spacing w:afterLines="120" w:after="288" w:line="276" w:lineRule="auto"/>
        <w:contextualSpacing/>
        <w:jc w:val="both"/>
        <w:rPr>
          <w:rFonts w:eastAsia="PMingLiU"/>
          <w:lang w:val="en-SG" w:eastAsia="zh-TW"/>
        </w:rPr>
      </w:pPr>
    </w:p>
    <w:p w:rsidR="007B5A3D" w:rsidRPr="009109DA" w:rsidRDefault="007B5A3D" w:rsidP="00035452">
      <w:pPr>
        <w:numPr>
          <w:ilvl w:val="0"/>
          <w:numId w:val="10"/>
        </w:numPr>
        <w:spacing w:afterLines="120" w:after="288" w:line="276" w:lineRule="auto"/>
        <w:contextualSpacing/>
        <w:jc w:val="both"/>
        <w:rPr>
          <w:rFonts w:eastAsia="Calibri"/>
        </w:rPr>
      </w:pPr>
      <w:r w:rsidRPr="009109DA">
        <w:rPr>
          <w:rFonts w:eastAsia="PMingLiU"/>
          <w:lang w:val="en-SG" w:eastAsia="zh-TW"/>
        </w:rPr>
        <w:t xml:space="preserve"> </w:t>
      </w:r>
      <w:r w:rsidR="004A751E">
        <w:rPr>
          <w:rFonts w:eastAsia="PMingLiU"/>
          <w:lang w:val="en-SG" w:eastAsia="zh-TW"/>
        </w:rPr>
        <w:t>Promote</w:t>
      </w:r>
      <w:r w:rsidR="004A751E" w:rsidRPr="009109DA">
        <w:rPr>
          <w:rFonts w:eastAsia="PMingLiU"/>
          <w:lang w:val="en-SG" w:eastAsia="zh-TW"/>
        </w:rPr>
        <w:t xml:space="preserve"> </w:t>
      </w:r>
      <w:r w:rsidR="000E6609" w:rsidRPr="009109DA">
        <w:rPr>
          <w:rFonts w:eastAsia="PMingLiU"/>
          <w:lang w:val="en-SG" w:eastAsia="zh-TW"/>
        </w:rPr>
        <w:t xml:space="preserve">innovation in </w:t>
      </w:r>
      <w:r w:rsidR="001F5247">
        <w:rPr>
          <w:rFonts w:eastAsia="PMingLiU"/>
          <w:lang w:val="en-SG" w:eastAsia="zh-TW"/>
        </w:rPr>
        <w:t>land and sea based</w:t>
      </w:r>
      <w:r w:rsidR="001F5247" w:rsidRPr="009109DA">
        <w:rPr>
          <w:rFonts w:eastAsia="PMingLiU"/>
          <w:lang w:val="en-SG" w:eastAsia="zh-TW"/>
        </w:rPr>
        <w:t xml:space="preserve"> </w:t>
      </w:r>
      <w:r w:rsidR="001635B7">
        <w:rPr>
          <w:rFonts w:eastAsia="PMingLiU"/>
          <w:lang w:val="en-SG" w:eastAsia="zh-TW"/>
        </w:rPr>
        <w:t xml:space="preserve">plastic </w:t>
      </w:r>
      <w:r w:rsidR="000E6609" w:rsidRPr="009109DA">
        <w:rPr>
          <w:rFonts w:eastAsia="PMingLiU"/>
          <w:lang w:val="en-SG" w:eastAsia="zh-TW"/>
        </w:rPr>
        <w:t>waste management</w:t>
      </w:r>
      <w:r w:rsidR="00FB22FA" w:rsidRPr="009109DA">
        <w:rPr>
          <w:rFonts w:eastAsia="Calibri"/>
        </w:rPr>
        <w:t xml:space="preserve"> and new technologies for reducing the prevalence and environmental impact of marine debris. </w:t>
      </w:r>
    </w:p>
    <w:p w:rsidR="00EC09CB" w:rsidRPr="009109DA" w:rsidRDefault="00EC09CB" w:rsidP="00035452">
      <w:pPr>
        <w:spacing w:afterLines="120" w:after="288" w:line="276" w:lineRule="auto"/>
        <w:ind w:left="360"/>
        <w:contextualSpacing/>
        <w:jc w:val="both"/>
        <w:rPr>
          <w:rFonts w:eastAsia="PMingLiU"/>
          <w:lang w:val="en-SG" w:eastAsia="zh-TW"/>
        </w:rPr>
      </w:pPr>
    </w:p>
    <w:p w:rsidR="00BC2A72" w:rsidRDefault="00BC2A72" w:rsidP="00035452">
      <w:pPr>
        <w:numPr>
          <w:ilvl w:val="0"/>
          <w:numId w:val="10"/>
        </w:numPr>
        <w:spacing w:afterLines="120" w:after="288" w:line="276" w:lineRule="auto"/>
        <w:contextualSpacing/>
        <w:jc w:val="both"/>
        <w:rPr>
          <w:rFonts w:eastAsia="PMingLiU"/>
          <w:lang w:val="en-SG" w:eastAsia="zh-TW"/>
        </w:rPr>
      </w:pPr>
      <w:r w:rsidRPr="009109DA">
        <w:rPr>
          <w:rFonts w:eastAsia="PMingLiU"/>
          <w:lang w:val="en-SG" w:eastAsia="zh-TW"/>
        </w:rPr>
        <w:t>Demonstrate an evidence-based case for implementation, using data</w:t>
      </w:r>
      <w:r w:rsidR="000E6609" w:rsidRPr="009109DA">
        <w:rPr>
          <w:rFonts w:eastAsia="PMingLiU"/>
          <w:lang w:val="en-SG" w:eastAsia="zh-TW"/>
        </w:rPr>
        <w:t xml:space="preserve"> from</w:t>
      </w:r>
      <w:r w:rsidRPr="009109DA">
        <w:rPr>
          <w:rFonts w:eastAsia="PMingLiU"/>
          <w:lang w:val="en-SG" w:eastAsia="zh-TW"/>
        </w:rPr>
        <w:t xml:space="preserve"> internationally recognized data sour</w:t>
      </w:r>
      <w:r w:rsidR="000E6609" w:rsidRPr="009109DA">
        <w:rPr>
          <w:rFonts w:eastAsia="PMingLiU"/>
          <w:lang w:val="en-SG" w:eastAsia="zh-TW"/>
        </w:rPr>
        <w:t>ces</w:t>
      </w:r>
      <w:r w:rsidRPr="009109DA">
        <w:rPr>
          <w:rFonts w:eastAsia="PMingLiU"/>
          <w:lang w:val="en-SG" w:eastAsia="zh-TW"/>
        </w:rPr>
        <w:t>.</w:t>
      </w:r>
    </w:p>
    <w:p w:rsidR="00EC09CB" w:rsidRPr="009109DA" w:rsidRDefault="00EC09CB" w:rsidP="00035452">
      <w:pPr>
        <w:spacing w:afterLines="120" w:after="288" w:line="276" w:lineRule="auto"/>
        <w:contextualSpacing/>
        <w:jc w:val="both"/>
        <w:rPr>
          <w:rFonts w:eastAsia="PMingLiU"/>
          <w:lang w:val="en-SG" w:eastAsia="zh-TW"/>
        </w:rPr>
      </w:pPr>
    </w:p>
    <w:p w:rsidR="00EC09CB" w:rsidRDefault="00BC2A72" w:rsidP="00035452">
      <w:pPr>
        <w:numPr>
          <w:ilvl w:val="0"/>
          <w:numId w:val="10"/>
        </w:numPr>
        <w:spacing w:afterLines="120" w:after="288" w:line="276" w:lineRule="auto"/>
        <w:contextualSpacing/>
        <w:jc w:val="both"/>
        <w:rPr>
          <w:rFonts w:eastAsia="PMingLiU"/>
          <w:lang w:val="en-SG" w:eastAsia="zh-TW"/>
        </w:rPr>
      </w:pPr>
      <w:r w:rsidRPr="009109DA">
        <w:rPr>
          <w:rFonts w:eastAsia="PMingLiU"/>
          <w:lang w:val="en-SG" w:eastAsia="zh-TW"/>
        </w:rPr>
        <w:t>Take a multi-stakeholder approach,</w:t>
      </w:r>
      <w:r w:rsidR="00C10BD4" w:rsidRPr="009109DA">
        <w:rPr>
          <w:rFonts w:eastAsia="PMingLiU"/>
          <w:lang w:val="en-SG" w:eastAsia="zh-TW"/>
        </w:rPr>
        <w:t xml:space="preserve"> either through partnership and/or participation, by providing clear evidence that relevant private </w:t>
      </w:r>
      <w:r w:rsidR="001635B7">
        <w:rPr>
          <w:rFonts w:eastAsia="PMingLiU"/>
          <w:lang w:val="en-SG" w:eastAsia="zh-TW"/>
        </w:rPr>
        <w:t xml:space="preserve">sector </w:t>
      </w:r>
      <w:r w:rsidR="00C10BD4" w:rsidRPr="009109DA">
        <w:rPr>
          <w:rFonts w:eastAsia="PMingLiU"/>
          <w:lang w:val="en-SG" w:eastAsia="zh-TW"/>
        </w:rPr>
        <w:t>stakeholders</w:t>
      </w:r>
      <w:r w:rsidRPr="009109DA">
        <w:rPr>
          <w:rFonts w:eastAsia="PMingLiU"/>
          <w:lang w:val="en-SG" w:eastAsia="zh-TW"/>
        </w:rPr>
        <w:t xml:space="preserve"> and/or civil society</w:t>
      </w:r>
      <w:r w:rsidR="00C10BD4" w:rsidRPr="009109DA">
        <w:rPr>
          <w:rFonts w:eastAsia="PMingLiU"/>
          <w:lang w:val="en-SG" w:eastAsia="zh-TW"/>
        </w:rPr>
        <w:t xml:space="preserve"> are included in the project planning and implementation, such as through funding and/or in-kind contributions and expertise.</w:t>
      </w:r>
    </w:p>
    <w:p w:rsidR="00E44E6E" w:rsidRDefault="00E44E6E" w:rsidP="00035452">
      <w:pPr>
        <w:spacing w:afterLines="120" w:after="288" w:line="276" w:lineRule="auto"/>
        <w:contextualSpacing/>
        <w:jc w:val="both"/>
        <w:rPr>
          <w:rFonts w:eastAsia="PMingLiU"/>
          <w:lang w:val="en-SG" w:eastAsia="zh-TW"/>
        </w:rPr>
      </w:pPr>
    </w:p>
    <w:p w:rsidR="002B732F" w:rsidRDefault="003C36D8" w:rsidP="00035452">
      <w:pPr>
        <w:numPr>
          <w:ilvl w:val="0"/>
          <w:numId w:val="10"/>
        </w:numPr>
        <w:spacing w:afterLines="120" w:after="288" w:line="276" w:lineRule="auto"/>
        <w:contextualSpacing/>
        <w:jc w:val="both"/>
        <w:rPr>
          <w:rFonts w:eastAsia="PMingLiU"/>
          <w:lang w:val="en-SG" w:eastAsia="zh-TW"/>
        </w:rPr>
      </w:pPr>
      <w:r>
        <w:rPr>
          <w:rFonts w:eastAsia="PMingLiU"/>
          <w:lang w:val="en-SG" w:eastAsia="zh-TW"/>
        </w:rPr>
        <w:t xml:space="preserve"> </w:t>
      </w:r>
      <w:r w:rsidR="002B732F" w:rsidRPr="009109DA">
        <w:rPr>
          <w:rFonts w:eastAsia="PMingLiU"/>
          <w:lang w:val="en-SG" w:eastAsia="zh-TW"/>
        </w:rPr>
        <w:t xml:space="preserve">Be </w:t>
      </w:r>
      <w:r w:rsidR="00C01984">
        <w:rPr>
          <w:rFonts w:eastAsia="PMingLiU"/>
          <w:lang w:val="en-SG" w:eastAsia="zh-TW"/>
        </w:rPr>
        <w:t xml:space="preserve">endorsed (or co-endorsed) and </w:t>
      </w:r>
      <w:r w:rsidR="002B732F" w:rsidRPr="009109DA">
        <w:rPr>
          <w:rFonts w:eastAsia="PMingLiU"/>
          <w:lang w:val="en-SG" w:eastAsia="zh-TW"/>
        </w:rPr>
        <w:t xml:space="preserve">otherwise assessed as eligible by </w:t>
      </w:r>
      <w:r>
        <w:rPr>
          <w:rFonts w:eastAsia="PMingLiU"/>
          <w:lang w:val="en-SG" w:eastAsia="zh-TW"/>
        </w:rPr>
        <w:t>the OFWG</w:t>
      </w:r>
      <w:r w:rsidR="002B732F" w:rsidRPr="009109DA">
        <w:rPr>
          <w:rFonts w:eastAsia="PMingLiU"/>
          <w:lang w:val="en-SG" w:eastAsia="zh-TW"/>
        </w:rPr>
        <w:t xml:space="preserve"> (see </w:t>
      </w:r>
      <w:r w:rsidR="00C01984">
        <w:rPr>
          <w:rFonts w:eastAsia="PMingLiU"/>
          <w:lang w:val="en-SG" w:eastAsia="zh-TW"/>
        </w:rPr>
        <w:t xml:space="preserve"> </w:t>
      </w:r>
      <w:r w:rsidR="002B732F" w:rsidRPr="009109DA">
        <w:rPr>
          <w:rFonts w:eastAsia="PMingLiU"/>
          <w:lang w:val="en-SG" w:eastAsia="zh-TW"/>
        </w:rPr>
        <w:t>below).</w:t>
      </w:r>
    </w:p>
    <w:p w:rsidR="001F5247" w:rsidRDefault="001F5247" w:rsidP="001F5247">
      <w:pPr>
        <w:shd w:val="clear" w:color="auto" w:fill="FFFFFF"/>
        <w:jc w:val="both"/>
        <w:rPr>
          <w:color w:val="000000"/>
          <w:lang w:val="en-US"/>
        </w:rPr>
      </w:pPr>
    </w:p>
    <w:p w:rsidR="001F5247" w:rsidRPr="00F52E80" w:rsidRDefault="001F5247" w:rsidP="001635B7">
      <w:pPr>
        <w:shd w:val="clear" w:color="auto" w:fill="FFFFFF"/>
        <w:spacing w:line="276" w:lineRule="auto"/>
        <w:jc w:val="both"/>
        <w:rPr>
          <w:color w:val="000000"/>
          <w:lang w:val="en-US"/>
        </w:rPr>
      </w:pPr>
      <w:r w:rsidRPr="00F52E80">
        <w:rPr>
          <w:color w:val="000000"/>
          <w:lang w:val="en-US"/>
        </w:rPr>
        <w:t>Priority will be given to CNs that reflect APEC’s p</w:t>
      </w:r>
      <w:r w:rsidR="004A751E">
        <w:rPr>
          <w:color w:val="000000"/>
          <w:lang w:val="en-US"/>
        </w:rPr>
        <w:t>riorities for its engagement on marine</w:t>
      </w:r>
      <w:r>
        <w:rPr>
          <w:color w:val="000000"/>
          <w:lang w:val="en-US"/>
        </w:rPr>
        <w:t xml:space="preserve"> debris</w:t>
      </w:r>
      <w:r w:rsidRPr="00F52E80">
        <w:rPr>
          <w:color w:val="000000"/>
          <w:lang w:val="en-US"/>
        </w:rPr>
        <w:t xml:space="preserve">, as identified </w:t>
      </w:r>
      <w:r w:rsidR="004A751E">
        <w:rPr>
          <w:color w:val="000000"/>
          <w:lang w:val="en-US"/>
        </w:rPr>
        <w:t>in the</w:t>
      </w:r>
      <w:r>
        <w:rPr>
          <w:color w:val="000000"/>
          <w:lang w:val="en-US"/>
        </w:rPr>
        <w:t xml:space="preserve"> OFWG Work Plan </w:t>
      </w:r>
      <w:r w:rsidRPr="00F0309D">
        <w:rPr>
          <w:color w:val="000000"/>
          <w:highlight w:val="yellow"/>
          <w:lang w:val="en-US"/>
        </w:rPr>
        <w:t>and the APEC Roadmap on Marine Debris</w:t>
      </w:r>
      <w:r w:rsidRPr="00F52E80">
        <w:rPr>
          <w:color w:val="000000"/>
          <w:lang w:val="en-US"/>
        </w:rPr>
        <w:t xml:space="preserve">. </w:t>
      </w:r>
      <w:r w:rsidR="00B66D60" w:rsidRPr="00B66D60">
        <w:rPr>
          <w:color w:val="000000"/>
          <w:lang w:val="en-US"/>
        </w:rPr>
        <w:t>No single CN shall request in excess of US</w:t>
      </w:r>
      <w:r w:rsidR="00B66D60">
        <w:rPr>
          <w:color w:val="000000"/>
          <w:lang w:val="en-US"/>
        </w:rPr>
        <w:t>$</w:t>
      </w:r>
      <w:r w:rsidR="00B66D60" w:rsidRPr="00B66D60">
        <w:rPr>
          <w:color w:val="000000"/>
          <w:lang w:val="en-US"/>
        </w:rPr>
        <w:t>15</w:t>
      </w:r>
      <w:r w:rsidR="00B66D60">
        <w:rPr>
          <w:color w:val="000000"/>
          <w:lang w:val="en-US"/>
        </w:rPr>
        <w:t>0</w:t>
      </w:r>
      <w:r w:rsidR="00B66D60" w:rsidRPr="00B66D60">
        <w:rPr>
          <w:color w:val="000000"/>
          <w:lang w:val="en-US"/>
        </w:rPr>
        <w:t>,000 from the</w:t>
      </w:r>
      <w:r w:rsidR="00B66D60">
        <w:rPr>
          <w:color w:val="000000"/>
          <w:lang w:val="en-US"/>
        </w:rPr>
        <w:t xml:space="preserve"> MDMI</w:t>
      </w:r>
      <w:r w:rsidR="00B66D60" w:rsidRPr="00B66D60">
        <w:rPr>
          <w:color w:val="000000"/>
          <w:lang w:val="en-US"/>
        </w:rPr>
        <w:t xml:space="preserve"> Sub-</w:t>
      </w:r>
      <w:r w:rsidR="00B66D60">
        <w:rPr>
          <w:color w:val="000000"/>
          <w:lang w:val="en-US"/>
        </w:rPr>
        <w:t>fund but there is no restriction o</w:t>
      </w:r>
      <w:r w:rsidR="00C105DE">
        <w:rPr>
          <w:color w:val="000000"/>
          <w:lang w:val="en-US"/>
        </w:rPr>
        <w:t>n the scale of any self-funding that is applied to any single CN.</w:t>
      </w:r>
      <w:r w:rsidR="00B66D60" w:rsidRPr="00B66D60">
        <w:rPr>
          <w:color w:val="000000"/>
          <w:lang w:val="en-US"/>
        </w:rPr>
        <w:t xml:space="preserve"> </w:t>
      </w:r>
    </w:p>
    <w:p w:rsidR="00C10BD4" w:rsidRPr="009109DA" w:rsidRDefault="00C10BD4" w:rsidP="00035452">
      <w:pPr>
        <w:spacing w:afterLines="120" w:after="288" w:line="276" w:lineRule="auto"/>
        <w:ind w:left="360"/>
        <w:contextualSpacing/>
        <w:jc w:val="both"/>
        <w:rPr>
          <w:rFonts w:eastAsia="PMingLiU"/>
          <w:lang w:val="en-SG" w:eastAsia="zh-TW"/>
        </w:rPr>
      </w:pPr>
    </w:p>
    <w:p w:rsidR="00AF3A3E" w:rsidRPr="009109DA" w:rsidRDefault="00AF3A3E" w:rsidP="00035452">
      <w:pPr>
        <w:spacing w:afterLines="120" w:after="288" w:line="276" w:lineRule="auto"/>
        <w:contextualSpacing/>
        <w:jc w:val="both"/>
        <w:rPr>
          <w:rFonts w:eastAsia="Calibri"/>
        </w:rPr>
      </w:pPr>
      <w:r w:rsidRPr="009109DA">
        <w:rPr>
          <w:rFonts w:eastAsia="Calibri"/>
          <w:b/>
          <w:u w:val="single"/>
        </w:rPr>
        <w:t>Procedures to access the Sub-Fund:</w:t>
      </w:r>
    </w:p>
    <w:p w:rsidR="001C5C76" w:rsidRPr="009109DA" w:rsidRDefault="001C5C76" w:rsidP="00035452">
      <w:pPr>
        <w:spacing w:afterLines="120" w:after="288" w:line="276" w:lineRule="auto"/>
        <w:contextualSpacing/>
        <w:rPr>
          <w:lang w:val="en-SG"/>
        </w:rPr>
      </w:pPr>
    </w:p>
    <w:p w:rsidR="004F131F" w:rsidRPr="009109DA" w:rsidRDefault="004F131F" w:rsidP="00035452">
      <w:pPr>
        <w:spacing w:afterLines="120" w:after="288" w:line="276" w:lineRule="auto"/>
        <w:contextualSpacing/>
        <w:rPr>
          <w:rFonts w:eastAsia="Calibri"/>
          <w:b/>
          <w:i/>
        </w:rPr>
      </w:pPr>
      <w:r w:rsidRPr="009109DA">
        <w:rPr>
          <w:rFonts w:eastAsia="Calibri"/>
          <w:b/>
          <w:i/>
        </w:rPr>
        <w:t>Endorsement and Scoring</w:t>
      </w:r>
    </w:p>
    <w:p w:rsidR="00DB6F6F" w:rsidRDefault="00DB6F6F" w:rsidP="00034C5C">
      <w:pPr>
        <w:spacing w:line="276" w:lineRule="auto"/>
        <w:jc w:val="both"/>
        <w:rPr>
          <w:rFonts w:eastAsia="Calibri"/>
          <w:color w:val="000000"/>
        </w:rPr>
      </w:pPr>
      <w:r>
        <w:rPr>
          <w:rFonts w:eastAsia="Calibri"/>
          <w:color w:val="000000"/>
        </w:rPr>
        <w:t>Any</w:t>
      </w:r>
      <w:r w:rsidR="003C36D8" w:rsidRPr="003C36D8">
        <w:rPr>
          <w:rFonts w:eastAsia="Calibri"/>
          <w:color w:val="000000"/>
        </w:rPr>
        <w:t xml:space="preserve"> CN seeking access to the </w:t>
      </w:r>
      <w:r w:rsidR="003C36D8">
        <w:rPr>
          <w:rFonts w:eastAsia="Calibri"/>
          <w:color w:val="000000"/>
        </w:rPr>
        <w:t>MDMI</w:t>
      </w:r>
      <w:r w:rsidR="003C36D8" w:rsidRPr="003C36D8">
        <w:rPr>
          <w:rFonts w:eastAsia="Calibri"/>
          <w:color w:val="000000"/>
        </w:rPr>
        <w:t xml:space="preserve"> Sub-fund must </w:t>
      </w:r>
      <w:r>
        <w:rPr>
          <w:rFonts w:eastAsia="Calibri"/>
          <w:color w:val="000000"/>
        </w:rPr>
        <w:t xml:space="preserve">first </w:t>
      </w:r>
      <w:r w:rsidR="003C36D8" w:rsidRPr="003C36D8">
        <w:rPr>
          <w:rFonts w:eastAsia="Calibri"/>
          <w:color w:val="000000"/>
        </w:rPr>
        <w:t>be endorsed by the proposing forum an</w:t>
      </w:r>
      <w:r>
        <w:rPr>
          <w:rFonts w:eastAsia="Calibri"/>
          <w:color w:val="000000"/>
        </w:rPr>
        <w:t>d have at least two co-sponsor</w:t>
      </w:r>
      <w:r w:rsidR="006224EC">
        <w:rPr>
          <w:rFonts w:eastAsia="Calibri"/>
          <w:color w:val="000000"/>
        </w:rPr>
        <w:t>ing economie</w:t>
      </w:r>
      <w:r>
        <w:rPr>
          <w:rFonts w:eastAsia="Calibri"/>
          <w:color w:val="000000"/>
        </w:rPr>
        <w:t>s.</w:t>
      </w:r>
      <w:r w:rsidR="00917E43">
        <w:rPr>
          <w:rFonts w:eastAsia="Calibri"/>
          <w:color w:val="000000"/>
        </w:rPr>
        <w:t xml:space="preserve"> </w:t>
      </w:r>
      <w:r w:rsidR="007F404A">
        <w:rPr>
          <w:rFonts w:eastAsia="Calibri"/>
          <w:color w:val="000000"/>
        </w:rPr>
        <w:t xml:space="preserve">CNs that are seeking endorsement </w:t>
      </w:r>
      <w:r w:rsidR="006224EC">
        <w:rPr>
          <w:rFonts w:eastAsia="Calibri"/>
          <w:color w:val="000000"/>
        </w:rPr>
        <w:t xml:space="preserve">must be submitted to </w:t>
      </w:r>
      <w:r>
        <w:rPr>
          <w:rFonts w:eastAsia="Calibri"/>
          <w:color w:val="000000"/>
        </w:rPr>
        <w:t xml:space="preserve">the Program Director responsible for the forum in question no later than the advertised Internal Submission </w:t>
      </w:r>
      <w:r w:rsidR="006224EC">
        <w:rPr>
          <w:rFonts w:eastAsia="Calibri"/>
          <w:color w:val="000000"/>
        </w:rPr>
        <w:t xml:space="preserve">Deadline </w:t>
      </w:r>
      <w:r>
        <w:rPr>
          <w:rFonts w:eastAsia="Calibri"/>
          <w:color w:val="000000"/>
        </w:rPr>
        <w:t xml:space="preserve">that applies to the project session in question. </w:t>
      </w:r>
      <w:r w:rsidRPr="00DB6F6F">
        <w:rPr>
          <w:rFonts w:eastAsia="Calibri"/>
          <w:color w:val="000000"/>
        </w:rPr>
        <w:t>P</w:t>
      </w:r>
      <w:r>
        <w:rPr>
          <w:rFonts w:eastAsia="Calibri"/>
          <w:color w:val="000000"/>
        </w:rPr>
        <w:t xml:space="preserve">roject </w:t>
      </w:r>
      <w:r w:rsidRPr="00DB6F6F">
        <w:rPr>
          <w:rFonts w:eastAsia="Calibri"/>
          <w:color w:val="000000"/>
        </w:rPr>
        <w:t>O</w:t>
      </w:r>
      <w:r>
        <w:rPr>
          <w:rFonts w:eastAsia="Calibri"/>
          <w:color w:val="000000"/>
        </w:rPr>
        <w:t>verseer</w:t>
      </w:r>
      <w:r w:rsidRPr="00DB6F6F">
        <w:rPr>
          <w:rFonts w:eastAsia="Calibri"/>
          <w:color w:val="000000"/>
        </w:rPr>
        <w:t>s must ensure that their economy agrees to propose the CN and must secure at least two co-sponsoring economies for the project before submitting the Concept Note by the Internal Submission Deadline</w:t>
      </w:r>
      <w:r>
        <w:rPr>
          <w:rFonts w:eastAsia="Calibri"/>
          <w:color w:val="000000"/>
        </w:rPr>
        <w:t xml:space="preserve">. </w:t>
      </w:r>
    </w:p>
    <w:p w:rsidR="00DB6F6F" w:rsidRDefault="00DB6F6F" w:rsidP="00034C5C">
      <w:pPr>
        <w:spacing w:line="276" w:lineRule="auto"/>
        <w:jc w:val="both"/>
        <w:rPr>
          <w:rFonts w:eastAsia="Calibri"/>
          <w:color w:val="000000"/>
        </w:rPr>
      </w:pPr>
    </w:p>
    <w:p w:rsidR="0085240F" w:rsidRDefault="00372B95" w:rsidP="0085240F">
      <w:pPr>
        <w:spacing w:line="276" w:lineRule="auto"/>
        <w:jc w:val="both"/>
        <w:rPr>
          <w:rFonts w:eastAsia="Calibri"/>
          <w:color w:val="000000"/>
        </w:rPr>
      </w:pPr>
      <w:r>
        <w:rPr>
          <w:rFonts w:eastAsia="Calibri"/>
          <w:color w:val="000000"/>
        </w:rPr>
        <w:t xml:space="preserve">CNs </w:t>
      </w:r>
      <w:r w:rsidR="007A18DA">
        <w:rPr>
          <w:rFonts w:eastAsia="Calibri"/>
          <w:color w:val="000000"/>
        </w:rPr>
        <w:t xml:space="preserve">must be </w:t>
      </w:r>
      <w:r w:rsidR="001F76FE">
        <w:rPr>
          <w:rFonts w:eastAsia="Calibri"/>
          <w:color w:val="000000"/>
        </w:rPr>
        <w:t>co-</w:t>
      </w:r>
      <w:r>
        <w:rPr>
          <w:rFonts w:eastAsia="Calibri"/>
          <w:color w:val="000000"/>
        </w:rPr>
        <w:t>endorsed by their proposing forum</w:t>
      </w:r>
      <w:r w:rsidR="003C36D8" w:rsidRPr="003C36D8">
        <w:rPr>
          <w:rFonts w:eastAsia="Calibri"/>
          <w:color w:val="000000"/>
        </w:rPr>
        <w:t xml:space="preserve"> </w:t>
      </w:r>
      <w:r w:rsidR="007A18DA">
        <w:rPr>
          <w:rFonts w:eastAsia="Calibri"/>
          <w:color w:val="000000"/>
        </w:rPr>
        <w:t xml:space="preserve">and </w:t>
      </w:r>
      <w:r>
        <w:rPr>
          <w:rFonts w:eastAsia="Calibri"/>
          <w:color w:val="000000"/>
        </w:rPr>
        <w:t xml:space="preserve">the OFWG </w:t>
      </w:r>
      <w:r w:rsidR="006F73D2">
        <w:rPr>
          <w:rFonts w:eastAsia="Calibri"/>
          <w:color w:val="000000"/>
        </w:rPr>
        <w:t>before</w:t>
      </w:r>
      <w:r>
        <w:rPr>
          <w:rFonts w:eastAsia="Calibri"/>
          <w:color w:val="000000"/>
        </w:rPr>
        <w:t xml:space="preserve"> submi</w:t>
      </w:r>
      <w:r w:rsidR="00C01984">
        <w:rPr>
          <w:rFonts w:eastAsia="Calibri"/>
          <w:color w:val="000000"/>
        </w:rPr>
        <w:t>ssion</w:t>
      </w:r>
      <w:r>
        <w:rPr>
          <w:rFonts w:eastAsia="Calibri"/>
          <w:color w:val="000000"/>
        </w:rPr>
        <w:t xml:space="preserve"> to</w:t>
      </w:r>
      <w:r w:rsidR="003C36D8" w:rsidRPr="003C36D8">
        <w:rPr>
          <w:rFonts w:eastAsia="Calibri"/>
          <w:color w:val="000000"/>
        </w:rPr>
        <w:t xml:space="preserve"> the APEC Project Management Unit</w:t>
      </w:r>
      <w:r w:rsidR="00DB6F6F">
        <w:rPr>
          <w:rFonts w:eastAsia="Calibri"/>
          <w:color w:val="000000"/>
        </w:rPr>
        <w:t>, no later than</w:t>
      </w:r>
      <w:r w:rsidR="003C36D8" w:rsidRPr="003C36D8">
        <w:rPr>
          <w:rFonts w:eastAsia="Calibri"/>
          <w:color w:val="000000"/>
        </w:rPr>
        <w:t xml:space="preserve"> the advertised Final Submission Deadline that applies to the Project Session in question. </w:t>
      </w:r>
      <w:r w:rsidR="0085240F" w:rsidRPr="003C36D8">
        <w:rPr>
          <w:rFonts w:eastAsia="Calibri"/>
          <w:color w:val="000000"/>
        </w:rPr>
        <w:t xml:space="preserve">CNs will then be provided to </w:t>
      </w:r>
      <w:r w:rsidR="0085240F">
        <w:rPr>
          <w:rFonts w:eastAsia="Calibri"/>
          <w:color w:val="000000"/>
        </w:rPr>
        <w:t>the OFWG</w:t>
      </w:r>
      <w:r w:rsidR="0085240F" w:rsidRPr="003C36D8">
        <w:rPr>
          <w:rFonts w:eastAsia="Calibri"/>
          <w:color w:val="000000"/>
        </w:rPr>
        <w:t xml:space="preserve"> which will consider the CNs against the </w:t>
      </w:r>
      <w:r w:rsidR="0085240F">
        <w:rPr>
          <w:rFonts w:eastAsia="Calibri"/>
          <w:color w:val="000000"/>
        </w:rPr>
        <w:t>MDMI</w:t>
      </w:r>
      <w:r w:rsidR="0085240F" w:rsidRPr="003C36D8">
        <w:rPr>
          <w:rFonts w:eastAsia="Calibri"/>
          <w:color w:val="000000"/>
        </w:rPr>
        <w:t xml:space="preserve"> Sub-fund eligibilit</w:t>
      </w:r>
      <w:r w:rsidR="0085240F">
        <w:rPr>
          <w:rFonts w:eastAsia="Calibri"/>
          <w:color w:val="000000"/>
        </w:rPr>
        <w:t>y criteria and decide whether the CN is eligible to access the S</w:t>
      </w:r>
      <w:r w:rsidR="0085240F" w:rsidRPr="003C36D8">
        <w:rPr>
          <w:rFonts w:eastAsia="Calibri"/>
          <w:color w:val="000000"/>
        </w:rPr>
        <w:t>ub-fund. Eligibility does not guarantee funding.</w:t>
      </w:r>
      <w:r w:rsidR="0085240F">
        <w:rPr>
          <w:rFonts w:eastAsia="Calibri"/>
          <w:color w:val="000000"/>
        </w:rPr>
        <w:t xml:space="preserve"> </w:t>
      </w:r>
      <w:r w:rsidR="0085240F" w:rsidRPr="00F0309D">
        <w:rPr>
          <w:rFonts w:eastAsia="Calibri"/>
          <w:color w:val="000000"/>
        </w:rPr>
        <w:t xml:space="preserve">CNs will be considered eligible for the MDMI Sub-fund unless there is a dissenting view raised by one or more </w:t>
      </w:r>
      <w:r w:rsidR="0085240F">
        <w:rPr>
          <w:rFonts w:eastAsia="Calibri"/>
          <w:color w:val="000000"/>
        </w:rPr>
        <w:t xml:space="preserve">OFWG </w:t>
      </w:r>
      <w:r w:rsidR="0085240F" w:rsidRPr="00F0309D">
        <w:rPr>
          <w:rFonts w:eastAsia="Calibri"/>
          <w:color w:val="000000"/>
        </w:rPr>
        <w:t xml:space="preserve">members. </w:t>
      </w:r>
      <w:r w:rsidR="0085240F">
        <w:rPr>
          <w:rFonts w:eastAsia="Calibri"/>
          <w:color w:val="000000"/>
        </w:rPr>
        <w:t>OFWG</w:t>
      </w:r>
      <w:r w:rsidR="0085240F" w:rsidRPr="00F0309D">
        <w:rPr>
          <w:rFonts w:eastAsia="Calibri"/>
          <w:color w:val="000000"/>
        </w:rPr>
        <w:t xml:space="preserve"> members with dissenting views</w:t>
      </w:r>
      <w:r w:rsidR="0085240F" w:rsidRPr="00F0309D">
        <w:rPr>
          <w:rFonts w:eastAsiaTheme="minorEastAsia"/>
          <w:color w:val="000000"/>
          <w:lang w:eastAsia="ko-KR"/>
        </w:rPr>
        <w:t xml:space="preserve"> </w:t>
      </w:r>
      <w:r w:rsidR="0085240F" w:rsidRPr="00F0309D">
        <w:rPr>
          <w:rFonts w:eastAsia="Calibri"/>
          <w:color w:val="000000"/>
        </w:rPr>
        <w:t>must provide their reasoning based on the eligibility criteria in writing to the APEC Secretariat. The APEC Secretariat will share the reasoning with the proposing economy so that the CN may be improved, as required, for re-submission in a subsequent project session. If there is a dissenting view, the CN will be considered ineligible for the Sub fund.</w:t>
      </w:r>
      <w:r w:rsidR="0085240F" w:rsidRPr="008E7D78">
        <w:rPr>
          <w:rFonts w:eastAsia="Calibri"/>
          <w:color w:val="000000"/>
        </w:rPr>
        <w:t xml:space="preserve"> </w:t>
      </w:r>
    </w:p>
    <w:p w:rsidR="0085240F" w:rsidRDefault="0085240F" w:rsidP="0085240F">
      <w:pPr>
        <w:spacing w:line="276" w:lineRule="auto"/>
        <w:jc w:val="both"/>
        <w:rPr>
          <w:rFonts w:eastAsia="Calibri"/>
          <w:color w:val="000000"/>
        </w:rPr>
      </w:pPr>
    </w:p>
    <w:p w:rsidR="00155B19" w:rsidRDefault="0085240F" w:rsidP="00034C5C">
      <w:pPr>
        <w:spacing w:line="276" w:lineRule="auto"/>
        <w:jc w:val="both"/>
        <w:rPr>
          <w:rFonts w:eastAsia="Calibri"/>
          <w:color w:val="000000"/>
        </w:rPr>
      </w:pPr>
      <w:r w:rsidRPr="008E7D78">
        <w:rPr>
          <w:rFonts w:eastAsia="Calibri"/>
          <w:color w:val="000000"/>
        </w:rPr>
        <w:t xml:space="preserve">CNs that are deemed eligible will be scored by </w:t>
      </w:r>
      <w:r>
        <w:rPr>
          <w:rFonts w:eastAsia="Calibri"/>
          <w:color w:val="000000"/>
        </w:rPr>
        <w:t xml:space="preserve">OFWG </w:t>
      </w:r>
      <w:r w:rsidRPr="008E7D78">
        <w:rPr>
          <w:rFonts w:eastAsia="Calibri"/>
          <w:color w:val="000000"/>
        </w:rPr>
        <w:t xml:space="preserve">using the APEC Scoring Template. Consistent with the Guidebook on APEC Projects, the Secretariat will then calculate which CNs can be funded, based on order of scores (highest to lowest), and in consideration of the total amount that is available under the </w:t>
      </w:r>
      <w:r>
        <w:rPr>
          <w:rFonts w:eastAsia="Calibri"/>
          <w:color w:val="000000"/>
        </w:rPr>
        <w:t>MDMI Sub-fund</w:t>
      </w:r>
      <w:r w:rsidRPr="008E7D78">
        <w:rPr>
          <w:rFonts w:eastAsia="Calibri"/>
          <w:color w:val="000000"/>
        </w:rPr>
        <w:t>, for the APEC Project Session in question. In line with the rules that apply to all APEC project funds, if a CN is found to be ineligible, the CN may not proceed any further in the APEC Project Session in question, either under the</w:t>
      </w:r>
      <w:r>
        <w:rPr>
          <w:rFonts w:eastAsia="Calibri"/>
          <w:color w:val="000000"/>
        </w:rPr>
        <w:t xml:space="preserve"> MDMI Sub-fund</w:t>
      </w:r>
      <w:r w:rsidRPr="008E7D78">
        <w:rPr>
          <w:rFonts w:eastAsia="Calibri"/>
          <w:color w:val="000000"/>
        </w:rPr>
        <w:t>, or any other APEC project fund (including the ASF General Fund).</w:t>
      </w:r>
      <w:r w:rsidR="00155B19" w:rsidRPr="008E7D78">
        <w:rPr>
          <w:rFonts w:eastAsia="Calibri"/>
          <w:color w:val="000000"/>
        </w:rPr>
        <w:t xml:space="preserve"> </w:t>
      </w:r>
    </w:p>
    <w:p w:rsidR="00AF3A3E" w:rsidRPr="009109DA" w:rsidRDefault="00AF3A3E" w:rsidP="00035452">
      <w:pPr>
        <w:spacing w:afterLines="120" w:after="288" w:line="276" w:lineRule="auto"/>
        <w:contextualSpacing/>
        <w:rPr>
          <w:rFonts w:eastAsia="Calibri"/>
        </w:rPr>
      </w:pPr>
    </w:p>
    <w:p w:rsidR="00EC09CB" w:rsidRPr="009109DA" w:rsidRDefault="00EC09CB" w:rsidP="00035452">
      <w:pPr>
        <w:spacing w:afterLines="120" w:after="288" w:line="276" w:lineRule="auto"/>
        <w:contextualSpacing/>
        <w:jc w:val="both"/>
        <w:rPr>
          <w:rFonts w:eastAsia="Calibri"/>
        </w:rPr>
      </w:pPr>
      <w:r w:rsidRPr="009109DA">
        <w:rPr>
          <w:rFonts w:eastAsia="Calibri"/>
          <w:b/>
          <w:i/>
        </w:rPr>
        <w:t>Developing the Full Project Proposal</w:t>
      </w:r>
    </w:p>
    <w:p w:rsidR="00AF3A3E" w:rsidRPr="009109DA" w:rsidRDefault="00996E1A" w:rsidP="00035452">
      <w:pPr>
        <w:spacing w:afterLines="120" w:after="288" w:line="276" w:lineRule="auto"/>
        <w:contextualSpacing/>
        <w:jc w:val="both"/>
        <w:rPr>
          <w:rFonts w:eastAsia="Calibri"/>
          <w:b/>
          <w:u w:val="single"/>
        </w:rPr>
      </w:pPr>
      <w:r w:rsidRPr="009109DA">
        <w:rPr>
          <w:rFonts w:eastAsia="Calibri"/>
        </w:rPr>
        <w:t xml:space="preserve">At the </w:t>
      </w:r>
      <w:r w:rsidR="00DE091E" w:rsidRPr="009109DA">
        <w:rPr>
          <w:rFonts w:eastAsia="Calibri"/>
        </w:rPr>
        <w:t>Project P</w:t>
      </w:r>
      <w:r w:rsidRPr="009109DA">
        <w:rPr>
          <w:rFonts w:eastAsia="Calibri"/>
        </w:rPr>
        <w:t xml:space="preserve">roposal stage, </w:t>
      </w:r>
      <w:r w:rsidR="000800A9" w:rsidRPr="009109DA">
        <w:rPr>
          <w:rFonts w:eastAsia="Calibri"/>
        </w:rPr>
        <w:t>OFWG</w:t>
      </w:r>
      <w:r w:rsidR="00AF3A3E" w:rsidRPr="009109DA">
        <w:rPr>
          <w:rFonts w:eastAsia="Calibri"/>
        </w:rPr>
        <w:t xml:space="preserve"> will be given the opportunity to comment on </w:t>
      </w:r>
      <w:r w:rsidR="00520AE4" w:rsidRPr="009109DA">
        <w:rPr>
          <w:rFonts w:eastAsia="Calibri"/>
        </w:rPr>
        <w:t xml:space="preserve">all </w:t>
      </w:r>
      <w:r w:rsidR="00AF3A3E" w:rsidRPr="009109DA">
        <w:rPr>
          <w:rFonts w:eastAsia="Calibri"/>
        </w:rPr>
        <w:t xml:space="preserve">Project Proposals </w:t>
      </w:r>
      <w:r w:rsidR="00520AE4" w:rsidRPr="009109DA">
        <w:rPr>
          <w:rFonts w:eastAsia="Calibri"/>
        </w:rPr>
        <w:t>to be</w:t>
      </w:r>
      <w:r w:rsidR="00AF3A3E" w:rsidRPr="009109DA">
        <w:rPr>
          <w:rFonts w:eastAsia="Calibri"/>
        </w:rPr>
        <w:t xml:space="preserve"> funded under the </w:t>
      </w:r>
      <w:r w:rsidR="00CC6B85">
        <w:rPr>
          <w:rFonts w:eastAsia="Calibri"/>
        </w:rPr>
        <w:t>MDMI</w:t>
      </w:r>
      <w:r w:rsidR="00AF3A3E" w:rsidRPr="009109DA">
        <w:rPr>
          <w:rFonts w:eastAsia="Calibri"/>
        </w:rPr>
        <w:t xml:space="preserve"> </w:t>
      </w:r>
      <w:r w:rsidR="000800A9" w:rsidRPr="009109DA">
        <w:rPr>
          <w:rFonts w:eastAsia="Calibri"/>
        </w:rPr>
        <w:t>S</w:t>
      </w:r>
      <w:r w:rsidR="00AF3A3E" w:rsidRPr="009109DA">
        <w:rPr>
          <w:rFonts w:eastAsia="Calibri"/>
        </w:rPr>
        <w:t>ub</w:t>
      </w:r>
      <w:r w:rsidR="00520AE4" w:rsidRPr="009109DA">
        <w:rPr>
          <w:rFonts w:eastAsia="Calibri"/>
        </w:rPr>
        <w:t xml:space="preserve">-fund, including those proposed by fora other </w:t>
      </w:r>
      <w:r w:rsidR="000800A9" w:rsidRPr="009109DA">
        <w:rPr>
          <w:rFonts w:eastAsia="Calibri"/>
        </w:rPr>
        <w:t>than OFWG</w:t>
      </w:r>
      <w:r w:rsidR="00AF3A3E" w:rsidRPr="009109DA">
        <w:rPr>
          <w:rFonts w:eastAsia="Calibri"/>
        </w:rPr>
        <w:t>.</w:t>
      </w:r>
      <w:r w:rsidR="00520AE4" w:rsidRPr="009109DA">
        <w:rPr>
          <w:rFonts w:eastAsia="Calibri"/>
        </w:rPr>
        <w:t xml:space="preserve"> </w:t>
      </w:r>
      <w:r w:rsidR="00AF3A3E" w:rsidRPr="009109DA">
        <w:rPr>
          <w:rFonts w:eastAsia="Calibri"/>
        </w:rPr>
        <w:t xml:space="preserve">The draft Project Proposal will be submitted to </w:t>
      </w:r>
      <w:r w:rsidR="000800A9" w:rsidRPr="009109DA">
        <w:rPr>
          <w:rFonts w:eastAsia="Calibri"/>
        </w:rPr>
        <w:t>OFWG</w:t>
      </w:r>
      <w:r w:rsidR="00AF3A3E" w:rsidRPr="009109DA">
        <w:rPr>
          <w:rFonts w:eastAsia="Calibri"/>
        </w:rPr>
        <w:t xml:space="preserve"> through the </w:t>
      </w:r>
      <w:r w:rsidR="000800A9" w:rsidRPr="009109DA">
        <w:rPr>
          <w:rFonts w:eastAsia="Calibri"/>
        </w:rPr>
        <w:t>OFWG</w:t>
      </w:r>
      <w:r w:rsidR="00AF3A3E" w:rsidRPr="009109DA">
        <w:rPr>
          <w:rFonts w:eastAsia="Calibri"/>
        </w:rPr>
        <w:t xml:space="preserve"> Program Director and comments sought prior to its submission to the APEC Secretariat.</w:t>
      </w:r>
      <w:r w:rsidR="007F404A">
        <w:rPr>
          <w:rFonts w:eastAsia="Calibri"/>
        </w:rPr>
        <w:t xml:space="preserve"> </w:t>
      </w:r>
      <w:r w:rsidR="00AF3A3E" w:rsidRPr="009109DA">
        <w:rPr>
          <w:rFonts w:eastAsia="Calibri"/>
        </w:rPr>
        <w:t xml:space="preserve">The Project Proposal </w:t>
      </w:r>
      <w:r w:rsidR="009B69DA">
        <w:rPr>
          <w:rFonts w:eastAsia="Calibri"/>
        </w:rPr>
        <w:t>shall</w:t>
      </w:r>
      <w:r w:rsidR="009B69DA" w:rsidRPr="009109DA">
        <w:rPr>
          <w:rFonts w:eastAsia="Calibri"/>
        </w:rPr>
        <w:t xml:space="preserve"> </w:t>
      </w:r>
      <w:r w:rsidR="00AF3A3E" w:rsidRPr="009109DA">
        <w:rPr>
          <w:rFonts w:eastAsia="Calibri"/>
        </w:rPr>
        <w:t xml:space="preserve">incorporate collaboration with </w:t>
      </w:r>
      <w:r w:rsidR="000800A9" w:rsidRPr="009109DA">
        <w:rPr>
          <w:rFonts w:eastAsia="Calibri"/>
        </w:rPr>
        <w:t>OFWG</w:t>
      </w:r>
      <w:r w:rsidR="00AF3A3E" w:rsidRPr="009109DA">
        <w:rPr>
          <w:rFonts w:eastAsia="Calibri"/>
        </w:rPr>
        <w:t xml:space="preserve"> during project implementation and sharing of project outcomes, as appropriate.</w:t>
      </w:r>
    </w:p>
    <w:p w:rsidR="00996E1A" w:rsidRPr="009109DA" w:rsidRDefault="00996E1A" w:rsidP="00035452">
      <w:pPr>
        <w:spacing w:afterLines="120" w:after="288" w:line="276" w:lineRule="auto"/>
        <w:contextualSpacing/>
        <w:jc w:val="both"/>
        <w:rPr>
          <w:rFonts w:eastAsia="Calibri"/>
        </w:rPr>
      </w:pPr>
    </w:p>
    <w:p w:rsidR="003423AD" w:rsidRPr="009109DA" w:rsidRDefault="003423AD" w:rsidP="00035452">
      <w:pPr>
        <w:spacing w:afterLines="120" w:after="288" w:line="276" w:lineRule="auto"/>
        <w:contextualSpacing/>
        <w:jc w:val="both"/>
        <w:rPr>
          <w:rFonts w:eastAsia="Calibri"/>
          <w:b/>
          <w:u w:val="single"/>
        </w:rPr>
      </w:pPr>
      <w:r w:rsidRPr="009109DA">
        <w:rPr>
          <w:rFonts w:eastAsia="Calibri"/>
          <w:b/>
          <w:u w:val="single"/>
        </w:rPr>
        <w:t xml:space="preserve">Administration of the </w:t>
      </w:r>
      <w:r w:rsidR="000800A9" w:rsidRPr="009109DA">
        <w:rPr>
          <w:rFonts w:eastAsia="Calibri"/>
          <w:b/>
          <w:u w:val="single"/>
        </w:rPr>
        <w:t>Marine Debris Management and Innovation Sub-fund</w:t>
      </w:r>
    </w:p>
    <w:p w:rsidR="00CC6B85" w:rsidRDefault="00CC6B85" w:rsidP="00035452">
      <w:pPr>
        <w:spacing w:afterLines="120" w:after="288" w:line="276" w:lineRule="auto"/>
        <w:contextualSpacing/>
        <w:jc w:val="both"/>
        <w:rPr>
          <w:rFonts w:eastAsia="Calibri"/>
        </w:rPr>
      </w:pPr>
    </w:p>
    <w:p w:rsidR="003423AD" w:rsidRPr="009109DA" w:rsidRDefault="003423AD" w:rsidP="00035452">
      <w:pPr>
        <w:spacing w:afterLines="120" w:after="288" w:line="276" w:lineRule="auto"/>
        <w:contextualSpacing/>
        <w:jc w:val="both"/>
        <w:rPr>
          <w:rFonts w:eastAsia="Calibri"/>
        </w:rPr>
      </w:pPr>
      <w:r w:rsidRPr="009109DA">
        <w:rPr>
          <w:rFonts w:eastAsia="Calibri"/>
        </w:rPr>
        <w:t xml:space="preserve">The APEC Secretariat will be responsible for the administration of the </w:t>
      </w:r>
      <w:r w:rsidR="000800A9" w:rsidRPr="009109DA">
        <w:rPr>
          <w:rFonts w:eastAsia="Calibri"/>
        </w:rPr>
        <w:t>Marine Debris Management and Innovation</w:t>
      </w:r>
      <w:r w:rsidRPr="009109DA">
        <w:rPr>
          <w:rFonts w:eastAsia="Calibri"/>
        </w:rPr>
        <w:t xml:space="preserve"> Sub-Fund. It will be subject to the procedures and timelines governing the APEC Support Fund, as set out in the Guidebook on APEC Projects and the APEC website. Refer to </w:t>
      </w:r>
      <w:hyperlink r:id="rId8" w:history="1">
        <w:r w:rsidRPr="008C70A6">
          <w:rPr>
            <w:rFonts w:eastAsia="Calibri"/>
            <w:color w:val="0000FF"/>
            <w:u w:val="single"/>
          </w:rPr>
          <w:t>http://www.apec.org/Projects/Applying-for-Funds.aspx</w:t>
        </w:r>
      </w:hyperlink>
    </w:p>
    <w:sectPr w:rsidR="003423AD" w:rsidRPr="009109DA" w:rsidSect="004A5796">
      <w:head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E87" w:rsidRDefault="005A7E87">
      <w:r>
        <w:separator/>
      </w:r>
    </w:p>
  </w:endnote>
  <w:endnote w:type="continuationSeparator" w:id="0">
    <w:p w:rsidR="005A7E87" w:rsidRDefault="005A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E87" w:rsidRDefault="005A7E87">
      <w:r>
        <w:separator/>
      </w:r>
    </w:p>
  </w:footnote>
  <w:footnote w:type="continuationSeparator" w:id="0">
    <w:p w:rsidR="005A7E87" w:rsidRDefault="005A7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F8" w:rsidRDefault="00FD7CF8">
    <w:pPr>
      <w:pStyle w:val="Header"/>
      <w:tabs>
        <w:tab w:val="right" w:pos="9000"/>
      </w:tabs>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8A4"/>
    <w:multiLevelType w:val="hybridMultilevel"/>
    <w:tmpl w:val="DCE0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633FB"/>
    <w:multiLevelType w:val="hybridMultilevel"/>
    <w:tmpl w:val="A800A3F2"/>
    <w:lvl w:ilvl="0" w:tplc="1C565C1E">
      <w:start w:val="1"/>
      <w:numFmt w:val="bullet"/>
      <w:lvlText w:val=""/>
      <w:lvlJc w:val="left"/>
      <w:pPr>
        <w:tabs>
          <w:tab w:val="num" w:pos="3600"/>
        </w:tabs>
        <w:ind w:left="36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E65EA"/>
    <w:multiLevelType w:val="hybridMultilevel"/>
    <w:tmpl w:val="21181AC4"/>
    <w:lvl w:ilvl="0" w:tplc="4AA623D4">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4763D6"/>
    <w:multiLevelType w:val="hybridMultilevel"/>
    <w:tmpl w:val="BDA87F5E"/>
    <w:lvl w:ilvl="0" w:tplc="4AA623D4">
      <w:start w:val="1"/>
      <w:numFmt w:val="bullet"/>
      <w:lvlText w:val=""/>
      <w:lvlJc w:val="left"/>
      <w:pPr>
        <w:tabs>
          <w:tab w:val="num" w:pos="2520"/>
        </w:tabs>
        <w:ind w:left="252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FE9312B"/>
    <w:multiLevelType w:val="hybridMultilevel"/>
    <w:tmpl w:val="94866F42"/>
    <w:lvl w:ilvl="0" w:tplc="7994BADA">
      <w:numFmt w:val="bullet"/>
      <w:lvlText w:val=""/>
      <w:lvlJc w:val="left"/>
      <w:pPr>
        <w:tabs>
          <w:tab w:val="num" w:pos="720"/>
        </w:tabs>
        <w:ind w:left="720" w:hanging="360"/>
      </w:pPr>
      <w:rPr>
        <w:rFonts w:ascii="Symbol" w:eastAsia="Times New Roman" w:hAnsi="Symbol"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52014"/>
    <w:multiLevelType w:val="multilevel"/>
    <w:tmpl w:val="334520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0055F6"/>
    <w:multiLevelType w:val="hybridMultilevel"/>
    <w:tmpl w:val="C9A2E6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9B58D4"/>
    <w:multiLevelType w:val="hybridMultilevel"/>
    <w:tmpl w:val="F68A9CD4"/>
    <w:lvl w:ilvl="0" w:tplc="0C090001">
      <w:start w:val="1"/>
      <w:numFmt w:val="bullet"/>
      <w:lvlText w:val=""/>
      <w:lvlJc w:val="left"/>
      <w:pPr>
        <w:ind w:left="1335" w:hanging="615"/>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522B7F15"/>
    <w:multiLevelType w:val="hybridMultilevel"/>
    <w:tmpl w:val="5E02CA78"/>
    <w:lvl w:ilvl="0" w:tplc="7994BADA">
      <w:numFmt w:val="bullet"/>
      <w:lvlText w:val=""/>
      <w:lvlJc w:val="left"/>
      <w:pPr>
        <w:tabs>
          <w:tab w:val="num" w:pos="720"/>
        </w:tabs>
        <w:ind w:left="720" w:hanging="360"/>
      </w:pPr>
      <w:rPr>
        <w:rFonts w:ascii="Symbol" w:eastAsia="Times New Roman" w:hAnsi="Symbol"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775AA"/>
    <w:multiLevelType w:val="hybridMultilevel"/>
    <w:tmpl w:val="AF32C456"/>
    <w:lvl w:ilvl="0" w:tplc="4AA623D4">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86A258A"/>
    <w:multiLevelType w:val="hybridMultilevel"/>
    <w:tmpl w:val="B382EF16"/>
    <w:lvl w:ilvl="0" w:tplc="7994BADA">
      <w:numFmt w:val="bullet"/>
      <w:lvlText w:val=""/>
      <w:lvlJc w:val="left"/>
      <w:pPr>
        <w:tabs>
          <w:tab w:val="num" w:pos="720"/>
        </w:tabs>
        <w:ind w:left="720" w:hanging="360"/>
      </w:pPr>
      <w:rPr>
        <w:rFonts w:ascii="Symbol" w:eastAsia="Times New Roman" w:hAnsi="Symbol"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365CD"/>
    <w:multiLevelType w:val="hybridMultilevel"/>
    <w:tmpl w:val="7EA2AD5E"/>
    <w:lvl w:ilvl="0" w:tplc="4AA623D4">
      <w:start w:val="1"/>
      <w:numFmt w:val="bullet"/>
      <w:lvlText w:val=""/>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FC7311"/>
    <w:multiLevelType w:val="hybridMultilevel"/>
    <w:tmpl w:val="3BB276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E3BC3B96">
      <w:start w:val="1"/>
      <w:numFmt w:val="lowerLetter"/>
      <w:lvlText w:val="(%3)"/>
      <w:lvlJc w:val="left"/>
      <w:pPr>
        <w:tabs>
          <w:tab w:val="num" w:pos="2700"/>
        </w:tabs>
        <w:ind w:left="2700" w:hanging="360"/>
      </w:pPr>
      <w:rPr>
        <w:rFonts w:hint="default"/>
      </w:rPr>
    </w:lvl>
    <w:lvl w:ilvl="3" w:tplc="2028FD26">
      <w:start w:val="1"/>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D8F222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
  </w:num>
  <w:num w:numId="3">
    <w:abstractNumId w:val="11"/>
  </w:num>
  <w:num w:numId="4">
    <w:abstractNumId w:val="4"/>
  </w:num>
  <w:num w:numId="5">
    <w:abstractNumId w:val="8"/>
  </w:num>
  <w:num w:numId="6">
    <w:abstractNumId w:val="10"/>
  </w:num>
  <w:num w:numId="7">
    <w:abstractNumId w:val="9"/>
  </w:num>
  <w:num w:numId="8">
    <w:abstractNumId w:val="3"/>
  </w:num>
  <w:num w:numId="9">
    <w:abstractNumId w:val="2"/>
  </w:num>
  <w:num w:numId="10">
    <w:abstractNumId w:val="13"/>
  </w:num>
  <w:num w:numId="11">
    <w:abstractNumId w:val="0"/>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F8"/>
    <w:rsid w:val="00012D18"/>
    <w:rsid w:val="00016146"/>
    <w:rsid w:val="00034C5C"/>
    <w:rsid w:val="00035452"/>
    <w:rsid w:val="000406C2"/>
    <w:rsid w:val="000430E0"/>
    <w:rsid w:val="00057E2B"/>
    <w:rsid w:val="000652EB"/>
    <w:rsid w:val="000775DA"/>
    <w:rsid w:val="000800A9"/>
    <w:rsid w:val="000941EE"/>
    <w:rsid w:val="00095950"/>
    <w:rsid w:val="000B3624"/>
    <w:rsid w:val="000B49D2"/>
    <w:rsid w:val="000B4E97"/>
    <w:rsid w:val="000B6E2A"/>
    <w:rsid w:val="000C4184"/>
    <w:rsid w:val="000D4195"/>
    <w:rsid w:val="000D5FA0"/>
    <w:rsid w:val="000D66D9"/>
    <w:rsid w:val="000E6609"/>
    <w:rsid w:val="000F1656"/>
    <w:rsid w:val="000F4AA0"/>
    <w:rsid w:val="0010357C"/>
    <w:rsid w:val="001059E1"/>
    <w:rsid w:val="001070C3"/>
    <w:rsid w:val="00110D6E"/>
    <w:rsid w:val="00113FA5"/>
    <w:rsid w:val="00116186"/>
    <w:rsid w:val="00120E5F"/>
    <w:rsid w:val="00124510"/>
    <w:rsid w:val="001245A9"/>
    <w:rsid w:val="0013264B"/>
    <w:rsid w:val="00137ED8"/>
    <w:rsid w:val="0014771C"/>
    <w:rsid w:val="00155B19"/>
    <w:rsid w:val="001603AB"/>
    <w:rsid w:val="001605B9"/>
    <w:rsid w:val="001635B7"/>
    <w:rsid w:val="00170BF8"/>
    <w:rsid w:val="00175D87"/>
    <w:rsid w:val="00187589"/>
    <w:rsid w:val="001A2D30"/>
    <w:rsid w:val="001B0308"/>
    <w:rsid w:val="001B382D"/>
    <w:rsid w:val="001B6045"/>
    <w:rsid w:val="001B6DAA"/>
    <w:rsid w:val="001C2B10"/>
    <w:rsid w:val="001C40D7"/>
    <w:rsid w:val="001C5C76"/>
    <w:rsid w:val="001F1792"/>
    <w:rsid w:val="001F268E"/>
    <w:rsid w:val="001F5247"/>
    <w:rsid w:val="001F75EE"/>
    <w:rsid w:val="001F76FE"/>
    <w:rsid w:val="00206A67"/>
    <w:rsid w:val="00207FEA"/>
    <w:rsid w:val="002140CE"/>
    <w:rsid w:val="002254A4"/>
    <w:rsid w:val="002268CE"/>
    <w:rsid w:val="002407C1"/>
    <w:rsid w:val="002450B2"/>
    <w:rsid w:val="002541F3"/>
    <w:rsid w:val="00255C0B"/>
    <w:rsid w:val="00263E2A"/>
    <w:rsid w:val="002643A9"/>
    <w:rsid w:val="002649CB"/>
    <w:rsid w:val="002765BD"/>
    <w:rsid w:val="00284823"/>
    <w:rsid w:val="002911CE"/>
    <w:rsid w:val="00294C5D"/>
    <w:rsid w:val="002B3994"/>
    <w:rsid w:val="002B673B"/>
    <w:rsid w:val="002B732F"/>
    <w:rsid w:val="002B7FF2"/>
    <w:rsid w:val="002D4917"/>
    <w:rsid w:val="002E425F"/>
    <w:rsid w:val="002F0793"/>
    <w:rsid w:val="002F179E"/>
    <w:rsid w:val="002F25E3"/>
    <w:rsid w:val="00334392"/>
    <w:rsid w:val="003423AD"/>
    <w:rsid w:val="00353CE0"/>
    <w:rsid w:val="0035727E"/>
    <w:rsid w:val="00364188"/>
    <w:rsid w:val="003655E0"/>
    <w:rsid w:val="0037140D"/>
    <w:rsid w:val="00372B95"/>
    <w:rsid w:val="00392CE3"/>
    <w:rsid w:val="0039359F"/>
    <w:rsid w:val="003B5ADD"/>
    <w:rsid w:val="003B5DF8"/>
    <w:rsid w:val="003C36D8"/>
    <w:rsid w:val="003C418C"/>
    <w:rsid w:val="003C5837"/>
    <w:rsid w:val="003C7FE7"/>
    <w:rsid w:val="003D3E92"/>
    <w:rsid w:val="003D68AE"/>
    <w:rsid w:val="003D6C3E"/>
    <w:rsid w:val="0041015E"/>
    <w:rsid w:val="00414218"/>
    <w:rsid w:val="00423CE9"/>
    <w:rsid w:val="004268E1"/>
    <w:rsid w:val="0044483B"/>
    <w:rsid w:val="004462BB"/>
    <w:rsid w:val="0045231E"/>
    <w:rsid w:val="00455F60"/>
    <w:rsid w:val="00461206"/>
    <w:rsid w:val="00486FE6"/>
    <w:rsid w:val="00491521"/>
    <w:rsid w:val="004972DC"/>
    <w:rsid w:val="004A5796"/>
    <w:rsid w:val="004A751E"/>
    <w:rsid w:val="004B4167"/>
    <w:rsid w:val="004B7831"/>
    <w:rsid w:val="004D20FB"/>
    <w:rsid w:val="004D2911"/>
    <w:rsid w:val="004F131F"/>
    <w:rsid w:val="005008C3"/>
    <w:rsid w:val="00500F1E"/>
    <w:rsid w:val="0050331A"/>
    <w:rsid w:val="00503705"/>
    <w:rsid w:val="005111F3"/>
    <w:rsid w:val="0051472E"/>
    <w:rsid w:val="00520AE4"/>
    <w:rsid w:val="00527D86"/>
    <w:rsid w:val="00554648"/>
    <w:rsid w:val="0056085C"/>
    <w:rsid w:val="00561FB3"/>
    <w:rsid w:val="00562FB3"/>
    <w:rsid w:val="00570460"/>
    <w:rsid w:val="00587E33"/>
    <w:rsid w:val="00595F52"/>
    <w:rsid w:val="005A63E5"/>
    <w:rsid w:val="005A7E87"/>
    <w:rsid w:val="005B013E"/>
    <w:rsid w:val="005B4D6A"/>
    <w:rsid w:val="005C4234"/>
    <w:rsid w:val="005D4867"/>
    <w:rsid w:val="005E56DD"/>
    <w:rsid w:val="005E730D"/>
    <w:rsid w:val="005F23A4"/>
    <w:rsid w:val="005F25A5"/>
    <w:rsid w:val="00607E87"/>
    <w:rsid w:val="00610E93"/>
    <w:rsid w:val="00613E24"/>
    <w:rsid w:val="00614DAB"/>
    <w:rsid w:val="0061623C"/>
    <w:rsid w:val="006224EC"/>
    <w:rsid w:val="00625EE6"/>
    <w:rsid w:val="00634B52"/>
    <w:rsid w:val="00635B9A"/>
    <w:rsid w:val="00676279"/>
    <w:rsid w:val="00686F4B"/>
    <w:rsid w:val="00691394"/>
    <w:rsid w:val="006A12B4"/>
    <w:rsid w:val="006B3CE3"/>
    <w:rsid w:val="006B3FBC"/>
    <w:rsid w:val="006B56A9"/>
    <w:rsid w:val="006C2148"/>
    <w:rsid w:val="006D1C5A"/>
    <w:rsid w:val="006D5AEE"/>
    <w:rsid w:val="006D6EC1"/>
    <w:rsid w:val="006D7E1D"/>
    <w:rsid w:val="006E0917"/>
    <w:rsid w:val="006E2A21"/>
    <w:rsid w:val="006F73D2"/>
    <w:rsid w:val="00701547"/>
    <w:rsid w:val="00720C01"/>
    <w:rsid w:val="00722442"/>
    <w:rsid w:val="00737C95"/>
    <w:rsid w:val="00767D82"/>
    <w:rsid w:val="00790B07"/>
    <w:rsid w:val="007930A5"/>
    <w:rsid w:val="007A18DA"/>
    <w:rsid w:val="007B5A3D"/>
    <w:rsid w:val="007C091F"/>
    <w:rsid w:val="007C34D7"/>
    <w:rsid w:val="007D0110"/>
    <w:rsid w:val="007D63C2"/>
    <w:rsid w:val="007E4F70"/>
    <w:rsid w:val="007F404A"/>
    <w:rsid w:val="008077F8"/>
    <w:rsid w:val="008131C9"/>
    <w:rsid w:val="00816711"/>
    <w:rsid w:val="00826350"/>
    <w:rsid w:val="00847C62"/>
    <w:rsid w:val="0085240F"/>
    <w:rsid w:val="008524F5"/>
    <w:rsid w:val="008645D1"/>
    <w:rsid w:val="0086589D"/>
    <w:rsid w:val="008769AA"/>
    <w:rsid w:val="008815F2"/>
    <w:rsid w:val="00891EE1"/>
    <w:rsid w:val="00894F0A"/>
    <w:rsid w:val="008A4EA0"/>
    <w:rsid w:val="008A6600"/>
    <w:rsid w:val="008C3482"/>
    <w:rsid w:val="008C70A6"/>
    <w:rsid w:val="008F5336"/>
    <w:rsid w:val="008F71F4"/>
    <w:rsid w:val="008F762A"/>
    <w:rsid w:val="00902D5C"/>
    <w:rsid w:val="00905FCC"/>
    <w:rsid w:val="009109DA"/>
    <w:rsid w:val="00910FB6"/>
    <w:rsid w:val="00913BA1"/>
    <w:rsid w:val="00916551"/>
    <w:rsid w:val="0091742F"/>
    <w:rsid w:val="00917E43"/>
    <w:rsid w:val="009241AF"/>
    <w:rsid w:val="009324C6"/>
    <w:rsid w:val="00935AC0"/>
    <w:rsid w:val="00935E95"/>
    <w:rsid w:val="00943889"/>
    <w:rsid w:val="0095672B"/>
    <w:rsid w:val="00960FE5"/>
    <w:rsid w:val="00974195"/>
    <w:rsid w:val="0097553F"/>
    <w:rsid w:val="0099314F"/>
    <w:rsid w:val="00996E1A"/>
    <w:rsid w:val="009B264A"/>
    <w:rsid w:val="009B69DA"/>
    <w:rsid w:val="009C2A6C"/>
    <w:rsid w:val="009C3183"/>
    <w:rsid w:val="009C5D63"/>
    <w:rsid w:val="009D7F07"/>
    <w:rsid w:val="009E0057"/>
    <w:rsid w:val="00A22D8B"/>
    <w:rsid w:val="00A23B3D"/>
    <w:rsid w:val="00A30E71"/>
    <w:rsid w:val="00A33C42"/>
    <w:rsid w:val="00A43875"/>
    <w:rsid w:val="00A45FEA"/>
    <w:rsid w:val="00A52738"/>
    <w:rsid w:val="00A536BF"/>
    <w:rsid w:val="00A55949"/>
    <w:rsid w:val="00A609E1"/>
    <w:rsid w:val="00A66C67"/>
    <w:rsid w:val="00A70BE6"/>
    <w:rsid w:val="00A77BD8"/>
    <w:rsid w:val="00A836ED"/>
    <w:rsid w:val="00A8546B"/>
    <w:rsid w:val="00A97C4D"/>
    <w:rsid w:val="00AA7B88"/>
    <w:rsid w:val="00AB4BD4"/>
    <w:rsid w:val="00AE22A6"/>
    <w:rsid w:val="00AE3137"/>
    <w:rsid w:val="00AE736B"/>
    <w:rsid w:val="00AF1194"/>
    <w:rsid w:val="00AF38D1"/>
    <w:rsid w:val="00AF3A3E"/>
    <w:rsid w:val="00B00E13"/>
    <w:rsid w:val="00B067D4"/>
    <w:rsid w:val="00B1198F"/>
    <w:rsid w:val="00B13CBE"/>
    <w:rsid w:val="00B140F2"/>
    <w:rsid w:val="00B14178"/>
    <w:rsid w:val="00B14CC6"/>
    <w:rsid w:val="00B15B2B"/>
    <w:rsid w:val="00B16026"/>
    <w:rsid w:val="00B2497D"/>
    <w:rsid w:val="00B32851"/>
    <w:rsid w:val="00B364C4"/>
    <w:rsid w:val="00B36644"/>
    <w:rsid w:val="00B42ACE"/>
    <w:rsid w:val="00B42E7C"/>
    <w:rsid w:val="00B44423"/>
    <w:rsid w:val="00B45638"/>
    <w:rsid w:val="00B509A5"/>
    <w:rsid w:val="00B66D60"/>
    <w:rsid w:val="00B75E97"/>
    <w:rsid w:val="00B76898"/>
    <w:rsid w:val="00B8689D"/>
    <w:rsid w:val="00B873C7"/>
    <w:rsid w:val="00B93305"/>
    <w:rsid w:val="00BA3ABC"/>
    <w:rsid w:val="00BB2E47"/>
    <w:rsid w:val="00BC2A72"/>
    <w:rsid w:val="00BC703A"/>
    <w:rsid w:val="00BD6F3D"/>
    <w:rsid w:val="00C01984"/>
    <w:rsid w:val="00C105DE"/>
    <w:rsid w:val="00C10BD4"/>
    <w:rsid w:val="00C13C80"/>
    <w:rsid w:val="00C14905"/>
    <w:rsid w:val="00C25136"/>
    <w:rsid w:val="00C517B8"/>
    <w:rsid w:val="00C6051E"/>
    <w:rsid w:val="00C663E1"/>
    <w:rsid w:val="00C67748"/>
    <w:rsid w:val="00C806A1"/>
    <w:rsid w:val="00C852D0"/>
    <w:rsid w:val="00C85C76"/>
    <w:rsid w:val="00C90FB2"/>
    <w:rsid w:val="00CB639B"/>
    <w:rsid w:val="00CC581A"/>
    <w:rsid w:val="00CC6B85"/>
    <w:rsid w:val="00CD1ADF"/>
    <w:rsid w:val="00CD7ECE"/>
    <w:rsid w:val="00CF0224"/>
    <w:rsid w:val="00D067B0"/>
    <w:rsid w:val="00D109CD"/>
    <w:rsid w:val="00D15882"/>
    <w:rsid w:val="00D2754F"/>
    <w:rsid w:val="00D35C83"/>
    <w:rsid w:val="00D47460"/>
    <w:rsid w:val="00D51988"/>
    <w:rsid w:val="00D52507"/>
    <w:rsid w:val="00D53E64"/>
    <w:rsid w:val="00D85057"/>
    <w:rsid w:val="00D91E18"/>
    <w:rsid w:val="00D93D92"/>
    <w:rsid w:val="00D959C2"/>
    <w:rsid w:val="00DA31F9"/>
    <w:rsid w:val="00DA407E"/>
    <w:rsid w:val="00DA4560"/>
    <w:rsid w:val="00DA636D"/>
    <w:rsid w:val="00DB5755"/>
    <w:rsid w:val="00DB6F6F"/>
    <w:rsid w:val="00DC5535"/>
    <w:rsid w:val="00DD182C"/>
    <w:rsid w:val="00DE091E"/>
    <w:rsid w:val="00DE2844"/>
    <w:rsid w:val="00DF068E"/>
    <w:rsid w:val="00E20785"/>
    <w:rsid w:val="00E2280D"/>
    <w:rsid w:val="00E42409"/>
    <w:rsid w:val="00E44E6E"/>
    <w:rsid w:val="00E608D2"/>
    <w:rsid w:val="00E610DC"/>
    <w:rsid w:val="00E83667"/>
    <w:rsid w:val="00EA4D7A"/>
    <w:rsid w:val="00EA4DF4"/>
    <w:rsid w:val="00EB0CE6"/>
    <w:rsid w:val="00EB4E31"/>
    <w:rsid w:val="00EC09CB"/>
    <w:rsid w:val="00EC7766"/>
    <w:rsid w:val="00ED5EC1"/>
    <w:rsid w:val="00EE2C23"/>
    <w:rsid w:val="00F0003E"/>
    <w:rsid w:val="00F021D3"/>
    <w:rsid w:val="00F02EF7"/>
    <w:rsid w:val="00F0309D"/>
    <w:rsid w:val="00F031B5"/>
    <w:rsid w:val="00F2295E"/>
    <w:rsid w:val="00F23B96"/>
    <w:rsid w:val="00F24612"/>
    <w:rsid w:val="00F24A52"/>
    <w:rsid w:val="00F42799"/>
    <w:rsid w:val="00F43A06"/>
    <w:rsid w:val="00F5253F"/>
    <w:rsid w:val="00F53EAD"/>
    <w:rsid w:val="00F570CA"/>
    <w:rsid w:val="00F617D1"/>
    <w:rsid w:val="00F67188"/>
    <w:rsid w:val="00F82A97"/>
    <w:rsid w:val="00F86377"/>
    <w:rsid w:val="00F94C36"/>
    <w:rsid w:val="00FA122A"/>
    <w:rsid w:val="00FA41E4"/>
    <w:rsid w:val="00FB22FA"/>
    <w:rsid w:val="00FB4AD6"/>
    <w:rsid w:val="00FB5C31"/>
    <w:rsid w:val="00FC1447"/>
    <w:rsid w:val="00FC255B"/>
    <w:rsid w:val="00FC4841"/>
    <w:rsid w:val="00FD7CF8"/>
    <w:rsid w:val="00FE134A"/>
    <w:rsid w:val="00FE5BCF"/>
    <w:rsid w:val="00FE78E3"/>
    <w:rsid w:val="00FF53F9"/>
    <w:rsid w:val="00FF65E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237AB"/>
  <w15:docId w15:val="{732918E8-563F-466E-80EC-26AD77D0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PS">
    <w:name w:val="MPS"/>
    <w:basedOn w:val="Normal"/>
    <w:rsid w:val="003B5DF8"/>
    <w:rPr>
      <w:lang w:val="en-US"/>
    </w:rPr>
  </w:style>
  <w:style w:type="character" w:styleId="Emphasis">
    <w:name w:val="Emphasis"/>
    <w:qFormat/>
    <w:rsid w:val="003B5DF8"/>
    <w:rPr>
      <w:i/>
      <w:iCs/>
    </w:rPr>
  </w:style>
  <w:style w:type="paragraph" w:styleId="Header">
    <w:name w:val="header"/>
    <w:basedOn w:val="Normal"/>
    <w:rsid w:val="00BB2E47"/>
    <w:pPr>
      <w:tabs>
        <w:tab w:val="center" w:pos="4153"/>
        <w:tab w:val="right" w:pos="8306"/>
      </w:tabs>
    </w:pPr>
  </w:style>
  <w:style w:type="paragraph" w:styleId="Footer">
    <w:name w:val="footer"/>
    <w:basedOn w:val="Normal"/>
    <w:rsid w:val="00BB2E47"/>
    <w:pPr>
      <w:tabs>
        <w:tab w:val="center" w:pos="4153"/>
        <w:tab w:val="right" w:pos="8306"/>
      </w:tabs>
    </w:pPr>
  </w:style>
  <w:style w:type="character" w:styleId="PageNumber">
    <w:name w:val="page number"/>
    <w:basedOn w:val="DefaultParagraphFont"/>
    <w:rsid w:val="00BB2E47"/>
  </w:style>
  <w:style w:type="paragraph" w:customStyle="1" w:styleId="Default">
    <w:name w:val="Default"/>
    <w:rsid w:val="00613E24"/>
    <w:pPr>
      <w:autoSpaceDE w:val="0"/>
      <w:autoSpaceDN w:val="0"/>
      <w:adjustRightInd w:val="0"/>
    </w:pPr>
    <w:rPr>
      <w:rFonts w:ascii="Arial" w:hAnsi="Arial" w:cs="Arial"/>
      <w:color w:val="000000"/>
      <w:sz w:val="24"/>
      <w:szCs w:val="24"/>
    </w:rPr>
  </w:style>
  <w:style w:type="character" w:styleId="CommentReference">
    <w:name w:val="annotation reference"/>
    <w:semiHidden/>
    <w:rsid w:val="00D15882"/>
    <w:rPr>
      <w:sz w:val="16"/>
      <w:szCs w:val="16"/>
    </w:rPr>
  </w:style>
  <w:style w:type="paragraph" w:styleId="CommentText">
    <w:name w:val="annotation text"/>
    <w:basedOn w:val="Normal"/>
    <w:semiHidden/>
    <w:rsid w:val="00D15882"/>
    <w:rPr>
      <w:sz w:val="20"/>
      <w:szCs w:val="20"/>
    </w:rPr>
  </w:style>
  <w:style w:type="paragraph" w:styleId="CommentSubject">
    <w:name w:val="annotation subject"/>
    <w:basedOn w:val="CommentText"/>
    <w:next w:val="CommentText"/>
    <w:semiHidden/>
    <w:rsid w:val="00D15882"/>
    <w:rPr>
      <w:b/>
      <w:bCs/>
    </w:rPr>
  </w:style>
  <w:style w:type="paragraph" w:styleId="BalloonText">
    <w:name w:val="Balloon Text"/>
    <w:basedOn w:val="Normal"/>
    <w:semiHidden/>
    <w:rsid w:val="00D15882"/>
    <w:rPr>
      <w:rFonts w:ascii="Tahoma" w:hAnsi="Tahoma" w:cs="Tahoma"/>
      <w:sz w:val="16"/>
      <w:szCs w:val="16"/>
    </w:rPr>
  </w:style>
  <w:style w:type="paragraph" w:styleId="ListParagraph">
    <w:name w:val="List Paragraph"/>
    <w:basedOn w:val="Normal"/>
    <w:uiPriority w:val="34"/>
    <w:qFormat/>
    <w:rsid w:val="00F031B5"/>
    <w:pPr>
      <w:spacing w:after="200" w:line="276" w:lineRule="auto"/>
      <w:ind w:left="720"/>
      <w:contextualSpacing/>
    </w:pPr>
    <w:rPr>
      <w:rFonts w:ascii="Calibri" w:eastAsia="PMingLiU" w:hAnsi="Calibri"/>
      <w:sz w:val="22"/>
      <w:szCs w:val="22"/>
      <w:lang w:val="en-SG" w:eastAsia="zh-TW"/>
    </w:rPr>
  </w:style>
  <w:style w:type="character" w:styleId="Hyperlink">
    <w:name w:val="Hyperlink"/>
    <w:uiPriority w:val="99"/>
    <w:unhideWhenUsed/>
    <w:rsid w:val="00F031B5"/>
    <w:rPr>
      <w:color w:val="0000FF"/>
      <w:u w:val="single"/>
    </w:rPr>
  </w:style>
  <w:style w:type="paragraph" w:styleId="FootnoteText">
    <w:name w:val="footnote text"/>
    <w:basedOn w:val="Normal"/>
    <w:link w:val="FootnoteTextChar"/>
    <w:uiPriority w:val="99"/>
    <w:unhideWhenUsed/>
    <w:rsid w:val="00F031B5"/>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F031B5"/>
    <w:rPr>
      <w:rFonts w:ascii="Calibri" w:eastAsia="Calibri" w:hAnsi="Calibri"/>
      <w:lang w:val="en-US" w:eastAsia="en-US"/>
    </w:rPr>
  </w:style>
  <w:style w:type="character" w:styleId="FootnoteReference">
    <w:name w:val="footnote reference"/>
    <w:uiPriority w:val="99"/>
    <w:unhideWhenUsed/>
    <w:rsid w:val="00F031B5"/>
    <w:rPr>
      <w:vertAlign w:val="superscript"/>
    </w:rPr>
  </w:style>
  <w:style w:type="character" w:customStyle="1" w:styleId="Hyperlink1">
    <w:name w:val="Hyperlink1"/>
    <w:basedOn w:val="DefaultParagraphFont"/>
    <w:uiPriority w:val="99"/>
    <w:unhideWhenUsed/>
    <w:rsid w:val="000B49D2"/>
    <w:rPr>
      <w:color w:val="0000FF"/>
      <w:u w:val="single"/>
    </w:rPr>
  </w:style>
  <w:style w:type="paragraph" w:styleId="NoSpacing">
    <w:name w:val="No Spacing"/>
    <w:uiPriority w:val="1"/>
    <w:qFormat/>
    <w:rsid w:val="00905FCC"/>
    <w:rPr>
      <w:rFonts w:asciiTheme="minorHAnsi" w:eastAsiaTheme="minorHAnsi" w:hAnsiTheme="minorHAnsi" w:cstheme="minorBidi"/>
      <w:sz w:val="22"/>
      <w:szCs w:val="22"/>
      <w:lang w:val="en-US" w:eastAsia="en-US"/>
    </w:rPr>
  </w:style>
  <w:style w:type="paragraph" w:styleId="Revision">
    <w:name w:val="Revision"/>
    <w:hidden/>
    <w:uiPriority w:val="99"/>
    <w:semiHidden/>
    <w:rsid w:val="004F131F"/>
    <w:rPr>
      <w:sz w:val="24"/>
      <w:szCs w:val="24"/>
      <w:lang w:eastAsia="en-US"/>
    </w:rPr>
  </w:style>
  <w:style w:type="paragraph" w:customStyle="1" w:styleId="ListParagraph1">
    <w:name w:val="List Paragraph1"/>
    <w:basedOn w:val="Normal"/>
    <w:uiPriority w:val="34"/>
    <w:qFormat/>
    <w:rsid w:val="001F5247"/>
    <w:rPr>
      <w:rFonts w:eastAsia="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ec.org/Projects/Applying-for-Fund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169C-AD83-41E7-9E01-ADAB0B15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Ford</dc:creator>
  <cp:lastModifiedBy>Daniel Simson</cp:lastModifiedBy>
  <cp:revision>2</cp:revision>
  <cp:lastPrinted>2019-11-28T03:14:00Z</cp:lastPrinted>
  <dcterms:created xsi:type="dcterms:W3CDTF">2020-04-30T07:50:00Z</dcterms:created>
  <dcterms:modified xsi:type="dcterms:W3CDTF">2020-04-30T07:50:00Z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AustinND2@state.gov</vt:lpwstr>
  </property>
  <property fmtid="{D5CDD505-2E9C-101B-9397-08002B2CF9AE}" pid="5" name="MSIP_Label_1665d9ee-429a-4d5f-97cc-cfb56e044a6e_SetDate">
    <vt:lpwstr>2019-11-27T15:02:20.5607319Z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2f485bc4-c015-43eb-b4c6-e0f14d7465b9</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