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7B" w:rsidRDefault="0039757B" w:rsidP="0039757B">
      <w:pPr>
        <w:jc w:val="center"/>
        <w:rPr>
          <w:rFonts w:ascii="Times New Roman" w:eastAsia="Calibri" w:hAnsi="Times New Roman" w:cs="Times New Roman"/>
          <w:b/>
          <w:sz w:val="24"/>
          <w:szCs w:val="24"/>
          <w:lang w:val="en-AU"/>
        </w:rPr>
      </w:pPr>
      <w:r w:rsidRPr="008E7D78">
        <w:rPr>
          <w:rFonts w:ascii="Times New Roman" w:eastAsia="Calibri" w:hAnsi="Times New Roman" w:cs="Times New Roman"/>
          <w:b/>
          <w:sz w:val="24"/>
          <w:szCs w:val="24"/>
          <w:lang w:val="en-AU"/>
        </w:rPr>
        <w:t xml:space="preserve">Eligibility Criteria &amp; Guidelines for </w:t>
      </w:r>
      <w:r w:rsidRPr="008E7D78">
        <w:rPr>
          <w:rFonts w:ascii="Times New Roman" w:eastAsiaTheme="minorEastAsia" w:hAnsi="Times New Roman" w:cs="Times New Roman"/>
          <w:b/>
          <w:sz w:val="24"/>
          <w:szCs w:val="24"/>
          <w:lang w:eastAsia="ko-KR"/>
        </w:rPr>
        <w:t>accessing</w:t>
      </w:r>
      <w:r w:rsidRPr="008E7D78">
        <w:rPr>
          <w:rFonts w:ascii="Times New Roman" w:eastAsia="Calibri" w:hAnsi="Times New Roman" w:cs="Times New Roman"/>
          <w:b/>
          <w:sz w:val="24"/>
          <w:szCs w:val="24"/>
          <w:lang w:val="en-AU"/>
        </w:rPr>
        <w:t xml:space="preserve"> the A</w:t>
      </w:r>
      <w:r>
        <w:rPr>
          <w:rFonts w:ascii="Times New Roman" w:eastAsia="Calibri" w:hAnsi="Times New Roman" w:cs="Times New Roman"/>
          <w:b/>
          <w:sz w:val="24"/>
          <w:szCs w:val="24"/>
          <w:lang w:val="en-AU"/>
        </w:rPr>
        <w:t xml:space="preserve">SF Digital Innovation </w:t>
      </w:r>
      <w:r w:rsidRPr="008E7D78">
        <w:rPr>
          <w:rFonts w:ascii="Times New Roman" w:eastAsia="Calibri" w:hAnsi="Times New Roman" w:cs="Times New Roman"/>
          <w:b/>
          <w:sz w:val="24"/>
          <w:szCs w:val="24"/>
          <w:lang w:val="en-AU"/>
        </w:rPr>
        <w:t xml:space="preserve">Sub-fund </w:t>
      </w:r>
    </w:p>
    <w:p w:rsidR="0039757B" w:rsidRPr="008E7D78" w:rsidRDefault="0039757B" w:rsidP="0039757B">
      <w:pPr>
        <w:jc w:val="center"/>
        <w:rPr>
          <w:rFonts w:ascii="Times New Roman" w:eastAsia="Calibri" w:hAnsi="Times New Roman" w:cs="Times New Roman"/>
          <w:b/>
          <w:sz w:val="24"/>
          <w:szCs w:val="24"/>
          <w:lang w:val="en-AU"/>
        </w:rPr>
      </w:pPr>
    </w:p>
    <w:p w:rsidR="0039757B" w:rsidRDefault="0039757B" w:rsidP="0039757B">
      <w:pPr>
        <w:jc w:val="both"/>
        <w:rPr>
          <w:rFonts w:ascii="Times New Roman" w:eastAsia="Calibri" w:hAnsi="Times New Roman" w:cs="Times New Roman"/>
          <w:sz w:val="24"/>
          <w:szCs w:val="24"/>
          <w:lang w:val="en-AU"/>
        </w:rPr>
      </w:pPr>
      <w:r w:rsidRPr="008E7D78">
        <w:rPr>
          <w:rFonts w:ascii="Times New Roman" w:eastAsia="Calibri" w:hAnsi="Times New Roman" w:cs="Times New Roman"/>
          <w:sz w:val="24"/>
          <w:szCs w:val="24"/>
          <w:lang w:val="en-AU"/>
        </w:rPr>
        <w:t xml:space="preserve">This paper sets out the governance arrangements and eligibility criteria for the APEC Support Fund Sub-fund for </w:t>
      </w:r>
      <w:r>
        <w:rPr>
          <w:rFonts w:ascii="Times New Roman" w:eastAsia="Calibri" w:hAnsi="Times New Roman" w:cs="Times New Roman"/>
          <w:sz w:val="24"/>
          <w:szCs w:val="24"/>
          <w:lang w:val="en-AU"/>
        </w:rPr>
        <w:t>facilitating growth of the digital economy</w:t>
      </w:r>
      <w:r w:rsidRPr="008E7D78">
        <w:rPr>
          <w:rFonts w:ascii="Times New Roman" w:eastAsia="Calibri" w:hAnsi="Times New Roman" w:cs="Times New Roman"/>
          <w:sz w:val="24"/>
          <w:szCs w:val="24"/>
          <w:lang w:val="en-AU"/>
        </w:rPr>
        <w:t xml:space="preserve"> (the</w:t>
      </w:r>
      <w:r>
        <w:rPr>
          <w:rFonts w:ascii="Times New Roman" w:eastAsiaTheme="minorEastAsia" w:hAnsi="Times New Roman" w:cs="Times New Roman" w:hint="eastAsia"/>
          <w:sz w:val="24"/>
          <w:szCs w:val="24"/>
          <w:lang w:val="en-AU" w:eastAsia="ko-KR"/>
        </w:rPr>
        <w:t xml:space="preserve"> </w:t>
      </w:r>
      <w:r>
        <w:rPr>
          <w:rFonts w:ascii="Times New Roman" w:eastAsia="Calibri" w:hAnsi="Times New Roman" w:cs="Times New Roman"/>
          <w:sz w:val="24"/>
          <w:szCs w:val="24"/>
          <w:lang w:val="en-AU"/>
        </w:rPr>
        <w:t>Digital Innovation Sub-fund</w:t>
      </w:r>
      <w:r w:rsidRPr="008E7D78">
        <w:rPr>
          <w:rFonts w:ascii="Times New Roman" w:eastAsia="Calibri" w:hAnsi="Times New Roman" w:cs="Times New Roman"/>
          <w:sz w:val="24"/>
          <w:szCs w:val="24"/>
          <w:lang w:val="en-AU"/>
        </w:rPr>
        <w:t>).</w:t>
      </w:r>
    </w:p>
    <w:p w:rsidR="0039757B" w:rsidRPr="008E7D78" w:rsidRDefault="0039757B" w:rsidP="0039757B">
      <w:pPr>
        <w:jc w:val="both"/>
        <w:rPr>
          <w:rFonts w:ascii="Times New Roman" w:eastAsia="Calibri" w:hAnsi="Times New Roman" w:cs="Times New Roman"/>
          <w:sz w:val="24"/>
          <w:szCs w:val="24"/>
          <w:lang w:val="en-AU"/>
        </w:rPr>
      </w:pPr>
    </w:p>
    <w:p w:rsidR="0039757B" w:rsidRDefault="0039757B" w:rsidP="0039757B">
      <w:pPr>
        <w:rPr>
          <w:rFonts w:ascii="Times New Roman" w:eastAsia="Calibri" w:hAnsi="Times New Roman" w:cs="Times New Roman"/>
          <w:b/>
          <w:sz w:val="24"/>
          <w:szCs w:val="24"/>
          <w:lang w:val="en-AU"/>
        </w:rPr>
      </w:pPr>
      <w:r w:rsidRPr="008E7D78">
        <w:rPr>
          <w:rFonts w:ascii="Times New Roman" w:eastAsia="Calibri" w:hAnsi="Times New Roman" w:cs="Times New Roman"/>
          <w:b/>
          <w:sz w:val="24"/>
          <w:szCs w:val="24"/>
          <w:lang w:val="en-AU"/>
        </w:rPr>
        <w:t xml:space="preserve">Scope </w:t>
      </w:r>
      <w:r w:rsidRPr="008E7D78">
        <w:rPr>
          <w:rFonts w:ascii="Times New Roman" w:eastAsiaTheme="minorEastAsia" w:hAnsi="Times New Roman" w:cs="Times New Roman"/>
          <w:b/>
          <w:sz w:val="24"/>
          <w:szCs w:val="24"/>
          <w:lang w:eastAsia="ko-KR"/>
        </w:rPr>
        <w:t>and</w:t>
      </w:r>
      <w:r w:rsidRPr="008E7D78">
        <w:rPr>
          <w:rFonts w:ascii="Times New Roman" w:eastAsia="Calibri" w:hAnsi="Times New Roman" w:cs="Times New Roman"/>
          <w:b/>
          <w:sz w:val="24"/>
          <w:szCs w:val="24"/>
          <w:lang w:val="en-AU"/>
        </w:rPr>
        <w:t xml:space="preserve"> fund priorities</w:t>
      </w:r>
    </w:p>
    <w:p w:rsidR="0039757B" w:rsidRDefault="0039757B" w:rsidP="0039757B">
      <w:pPr>
        <w:jc w:val="both"/>
        <w:rPr>
          <w:rFonts w:ascii="Times New Roman" w:eastAsia="Calibri" w:hAnsi="Times New Roman" w:cs="Times New Roman"/>
          <w:sz w:val="24"/>
          <w:szCs w:val="24"/>
          <w:lang w:val="en-AU"/>
        </w:rPr>
      </w:pPr>
      <w:r w:rsidRPr="008E7D78">
        <w:rPr>
          <w:rFonts w:ascii="Times New Roman" w:eastAsia="Calibri" w:hAnsi="Times New Roman" w:cs="Times New Roman"/>
          <w:sz w:val="24"/>
          <w:szCs w:val="24"/>
          <w:lang w:val="en-AU"/>
        </w:rPr>
        <w:t xml:space="preserve">The </w:t>
      </w:r>
      <w:r>
        <w:rPr>
          <w:rFonts w:ascii="Times New Roman" w:eastAsia="Calibri" w:hAnsi="Times New Roman" w:cs="Times New Roman"/>
          <w:sz w:val="24"/>
          <w:szCs w:val="24"/>
          <w:lang w:val="en-AU"/>
        </w:rPr>
        <w:t>Digital Innovation Sub-fund</w:t>
      </w:r>
      <w:r>
        <w:rPr>
          <w:rFonts w:ascii="Times New Roman" w:eastAsiaTheme="minorEastAsia" w:hAnsi="Times New Roman" w:cs="Times New Roman" w:hint="eastAsia"/>
          <w:sz w:val="24"/>
          <w:szCs w:val="24"/>
          <w:lang w:val="en-AU" w:eastAsia="ko-KR"/>
        </w:rPr>
        <w:t xml:space="preserve"> </w:t>
      </w:r>
      <w:r w:rsidRPr="008E7D78">
        <w:rPr>
          <w:rFonts w:ascii="Times New Roman" w:eastAsia="Calibri" w:hAnsi="Times New Roman" w:cs="Times New Roman"/>
          <w:sz w:val="24"/>
          <w:szCs w:val="24"/>
          <w:lang w:val="en-AU"/>
        </w:rPr>
        <w:t>supports APEC’s strategic objective of supporting inclusive, integrated and sustainable growth. It aims to provide ongoing support for APEC economies to improve the growth of the digital economy in the Asia-Pacific region. The Sub-</w:t>
      </w:r>
      <w:r>
        <w:rPr>
          <w:rFonts w:ascii="Times New Roman" w:eastAsia="Calibri" w:hAnsi="Times New Roman" w:cs="Times New Roman"/>
          <w:sz w:val="24"/>
          <w:szCs w:val="24"/>
          <w:lang w:val="en-AU"/>
        </w:rPr>
        <w:t>F</w:t>
      </w:r>
      <w:r w:rsidRPr="008E7D78">
        <w:rPr>
          <w:rFonts w:ascii="Times New Roman" w:eastAsia="Calibri" w:hAnsi="Times New Roman" w:cs="Times New Roman"/>
          <w:sz w:val="24"/>
          <w:szCs w:val="24"/>
          <w:lang w:val="en-AU"/>
        </w:rPr>
        <w:t xml:space="preserve">und will support new and ongoing initiatives related to </w:t>
      </w:r>
      <w:r>
        <w:rPr>
          <w:rFonts w:ascii="Times New Roman" w:eastAsia="Calibri" w:hAnsi="Times New Roman" w:cs="Times New Roman"/>
          <w:sz w:val="24"/>
          <w:szCs w:val="24"/>
          <w:lang w:val="en-AU"/>
        </w:rPr>
        <w:t>the digital economy</w:t>
      </w:r>
      <w:r w:rsidRPr="008E7D78">
        <w:rPr>
          <w:rFonts w:ascii="Times New Roman" w:eastAsia="Calibri" w:hAnsi="Times New Roman" w:cs="Times New Roman"/>
          <w:sz w:val="24"/>
          <w:szCs w:val="24"/>
          <w:lang w:val="en-AU"/>
        </w:rPr>
        <w:t xml:space="preserve">. </w:t>
      </w:r>
    </w:p>
    <w:p w:rsidR="0039757B" w:rsidRPr="008E7D78" w:rsidRDefault="0039757B" w:rsidP="0039757B">
      <w:pPr>
        <w:jc w:val="both"/>
        <w:rPr>
          <w:rFonts w:ascii="Times New Roman" w:eastAsia="Calibri" w:hAnsi="Times New Roman" w:cs="Times New Roman"/>
          <w:sz w:val="24"/>
          <w:szCs w:val="24"/>
          <w:lang w:val="en-AU"/>
        </w:rPr>
      </w:pPr>
    </w:p>
    <w:p w:rsidR="0039757B" w:rsidRDefault="0039757B" w:rsidP="0039757B">
      <w:pPr>
        <w:jc w:val="both"/>
        <w:rPr>
          <w:rFonts w:ascii="Times New Roman" w:eastAsia="Calibri" w:hAnsi="Times New Roman" w:cs="Times New Roman"/>
          <w:color w:val="000000"/>
          <w:sz w:val="24"/>
          <w:szCs w:val="24"/>
        </w:rPr>
      </w:pPr>
      <w:r w:rsidRPr="008E7D78">
        <w:rPr>
          <w:rFonts w:ascii="Times New Roman" w:eastAsia="Calibri" w:hAnsi="Times New Roman" w:cs="Times New Roman"/>
          <w:color w:val="000000"/>
          <w:sz w:val="24"/>
          <w:szCs w:val="24"/>
        </w:rPr>
        <w:t xml:space="preserve">Operating within any APEC fora, any economy may submit Concept Notes (CNs) which meet the scope and eligibility criteria of </w:t>
      </w:r>
      <w:r w:rsidRPr="008E7D78">
        <w:rPr>
          <w:rFonts w:ascii="Times New Roman" w:eastAsia="Calibri" w:hAnsi="Times New Roman" w:cs="Times New Roman"/>
          <w:sz w:val="24"/>
          <w:szCs w:val="24"/>
          <w:lang w:val="en-AU"/>
        </w:rPr>
        <w:t>the</w:t>
      </w:r>
      <w:r>
        <w:rPr>
          <w:rFonts w:ascii="Times New Roman" w:eastAsia="Calibri" w:hAnsi="Times New Roman" w:cs="Times New Roman"/>
          <w:color w:val="000000"/>
          <w:sz w:val="24"/>
          <w:szCs w:val="24"/>
        </w:rPr>
        <w:t xml:space="preserve"> Digital Innovation Sub-fund</w:t>
      </w:r>
      <w:r w:rsidRPr="008E7D7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While it is operational, the </w:t>
      </w:r>
      <w:r w:rsidRPr="008E7D78">
        <w:rPr>
          <w:rFonts w:ascii="Times New Roman" w:eastAsia="Calibri" w:hAnsi="Times New Roman" w:cs="Times New Roman"/>
          <w:color w:val="000000"/>
          <w:sz w:val="24"/>
          <w:szCs w:val="24"/>
        </w:rPr>
        <w:t xml:space="preserve">APEC E-Commerce Steering Group (ECSG) shall undertake the duties accorded to a Responsible APEC Forum as set-out in the Guidebook on APEC Projects with respect of the Sub-fund. </w:t>
      </w:r>
      <w:r>
        <w:rPr>
          <w:rFonts w:ascii="Times New Roman" w:eastAsia="Calibri" w:hAnsi="Times New Roman" w:cs="Times New Roman"/>
          <w:color w:val="000000"/>
          <w:sz w:val="24"/>
          <w:szCs w:val="24"/>
        </w:rPr>
        <w:t>However, once the Digital Economy Steering Group (DESG) is operational, it will assume this role as Responsible APEC Forum.</w:t>
      </w:r>
    </w:p>
    <w:p w:rsidR="0039757B" w:rsidRPr="008E7D78" w:rsidRDefault="0039757B" w:rsidP="0039757B">
      <w:pPr>
        <w:jc w:val="both"/>
        <w:rPr>
          <w:rFonts w:ascii="Times New Roman" w:eastAsia="Calibri" w:hAnsi="Times New Roman" w:cs="Times New Roman"/>
          <w:color w:val="000000"/>
          <w:sz w:val="24"/>
          <w:szCs w:val="24"/>
        </w:rPr>
      </w:pPr>
    </w:p>
    <w:p w:rsidR="0039757B" w:rsidRDefault="0039757B" w:rsidP="0039757B">
      <w:pPr>
        <w:rPr>
          <w:rFonts w:ascii="Times New Roman" w:eastAsia="Calibri" w:hAnsi="Times New Roman" w:cs="Times New Roman"/>
          <w:b/>
          <w:color w:val="000000"/>
          <w:sz w:val="24"/>
          <w:szCs w:val="24"/>
        </w:rPr>
      </w:pPr>
      <w:r w:rsidRPr="008E7D78">
        <w:rPr>
          <w:rFonts w:ascii="Times New Roman" w:eastAsia="Calibri" w:hAnsi="Times New Roman" w:cs="Times New Roman"/>
          <w:b/>
          <w:color w:val="000000"/>
          <w:sz w:val="24"/>
          <w:szCs w:val="24"/>
        </w:rPr>
        <w:t xml:space="preserve">Criteria for </w:t>
      </w:r>
      <w:r w:rsidRPr="008E7D78">
        <w:rPr>
          <w:rFonts w:ascii="Times New Roman" w:eastAsiaTheme="minorEastAsia" w:hAnsi="Times New Roman" w:cs="Times New Roman"/>
          <w:b/>
          <w:sz w:val="24"/>
          <w:szCs w:val="24"/>
          <w:lang w:eastAsia="ko-KR"/>
        </w:rPr>
        <w:t>accessing</w:t>
      </w:r>
      <w:r w:rsidRPr="008E7D78">
        <w:rPr>
          <w:rFonts w:ascii="Times New Roman" w:eastAsia="Calibri" w:hAnsi="Times New Roman" w:cs="Times New Roman"/>
          <w:b/>
          <w:color w:val="000000"/>
          <w:sz w:val="24"/>
          <w:szCs w:val="24"/>
        </w:rPr>
        <w:t xml:space="preserve"> the </w:t>
      </w:r>
      <w:r>
        <w:rPr>
          <w:rFonts w:ascii="Times New Roman" w:eastAsia="Calibri" w:hAnsi="Times New Roman" w:cs="Times New Roman"/>
          <w:b/>
          <w:color w:val="000000"/>
          <w:sz w:val="24"/>
          <w:szCs w:val="24"/>
        </w:rPr>
        <w:t>Digital</w:t>
      </w:r>
      <w:r>
        <w:rPr>
          <w:rFonts w:ascii="Times New Roman" w:eastAsiaTheme="minorEastAsia" w:hAnsi="Times New Roman" w:cs="Times New Roman" w:hint="eastAsia"/>
          <w:b/>
          <w:color w:val="000000"/>
          <w:sz w:val="24"/>
          <w:szCs w:val="24"/>
          <w:lang w:eastAsia="ko-KR"/>
        </w:rPr>
        <w:t xml:space="preserve"> </w:t>
      </w:r>
      <w:r>
        <w:rPr>
          <w:rFonts w:ascii="Times New Roman" w:eastAsia="Calibri" w:hAnsi="Times New Roman" w:cs="Times New Roman"/>
          <w:b/>
          <w:color w:val="000000"/>
          <w:sz w:val="24"/>
          <w:szCs w:val="24"/>
        </w:rPr>
        <w:t xml:space="preserve">Innovation </w:t>
      </w:r>
      <w:r w:rsidRPr="008E7D78">
        <w:rPr>
          <w:rFonts w:ascii="Times New Roman" w:eastAsia="Calibri" w:hAnsi="Times New Roman" w:cs="Times New Roman"/>
          <w:b/>
          <w:color w:val="000000"/>
          <w:sz w:val="24"/>
          <w:szCs w:val="24"/>
        </w:rPr>
        <w:t>Sub-fund</w:t>
      </w:r>
    </w:p>
    <w:p w:rsidR="0039757B" w:rsidRDefault="0039757B" w:rsidP="0039757B">
      <w:pPr>
        <w:jc w:val="both"/>
        <w:rPr>
          <w:rFonts w:ascii="Times New Roman" w:eastAsia="Calibri" w:hAnsi="Times New Roman" w:cs="Times New Roman"/>
          <w:color w:val="000000"/>
          <w:sz w:val="24"/>
          <w:szCs w:val="24"/>
        </w:rPr>
      </w:pPr>
      <w:r w:rsidRPr="008E7D78">
        <w:rPr>
          <w:rFonts w:ascii="Times New Roman" w:eastAsia="Calibri" w:hAnsi="Times New Roman" w:cs="Times New Roman"/>
          <w:color w:val="000000"/>
          <w:sz w:val="24"/>
          <w:szCs w:val="24"/>
        </w:rPr>
        <w:t xml:space="preserve">To be eligible for the </w:t>
      </w:r>
      <w:r>
        <w:rPr>
          <w:rFonts w:ascii="Times New Roman" w:eastAsia="Calibri" w:hAnsi="Times New Roman" w:cs="Times New Roman"/>
          <w:color w:val="000000"/>
          <w:sz w:val="24"/>
          <w:szCs w:val="24"/>
        </w:rPr>
        <w:t>Digital Innovation Sub-fund</w:t>
      </w:r>
      <w:r w:rsidRPr="008E7D78">
        <w:rPr>
          <w:rFonts w:ascii="Times New Roman" w:eastAsia="Calibri" w:hAnsi="Times New Roman" w:cs="Times New Roman"/>
          <w:color w:val="000000"/>
          <w:sz w:val="24"/>
          <w:szCs w:val="24"/>
        </w:rPr>
        <w:t>, CNs must</w:t>
      </w:r>
      <w:r>
        <w:rPr>
          <w:rFonts w:ascii="Times New Roman" w:eastAsia="Calibri" w:hAnsi="Times New Roman" w:cs="Times New Roman"/>
          <w:color w:val="000000"/>
          <w:sz w:val="24"/>
          <w:szCs w:val="24"/>
        </w:rPr>
        <w:t>:</w:t>
      </w:r>
    </w:p>
    <w:p w:rsidR="0039757B" w:rsidRDefault="0039757B" w:rsidP="0039757B">
      <w:pPr>
        <w:jc w:val="both"/>
        <w:rPr>
          <w:rFonts w:ascii="Times New Roman" w:eastAsia="Calibri" w:hAnsi="Times New Roman" w:cs="Times New Roman"/>
          <w:color w:val="000000"/>
          <w:sz w:val="24"/>
          <w:szCs w:val="24"/>
        </w:rPr>
      </w:pPr>
    </w:p>
    <w:p w:rsidR="0039757B" w:rsidRPr="001B7B1B" w:rsidRDefault="0039757B" w:rsidP="0039757B">
      <w:pPr>
        <w:spacing w:after="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w:t>
      </w:r>
      <w:r w:rsidRPr="001B7B1B">
        <w:rPr>
          <w:rFonts w:ascii="Times New Roman" w:eastAsia="Calibri" w:hAnsi="Times New Roman" w:cs="Times New Roman"/>
          <w:color w:val="000000"/>
          <w:sz w:val="24"/>
          <w:szCs w:val="24"/>
        </w:rPr>
        <w:t xml:space="preserve">must demonstrate that </w:t>
      </w:r>
      <w:r>
        <w:rPr>
          <w:rFonts w:ascii="Times New Roman" w:eastAsia="Calibri" w:hAnsi="Times New Roman" w:cs="Times New Roman"/>
          <w:color w:val="000000"/>
          <w:sz w:val="24"/>
          <w:szCs w:val="24"/>
        </w:rPr>
        <w:t xml:space="preserve">the </w:t>
      </w:r>
      <w:r w:rsidRPr="001B7B1B">
        <w:rPr>
          <w:rFonts w:ascii="Times New Roman" w:eastAsia="Calibri" w:hAnsi="Times New Roman" w:cs="Times New Roman"/>
          <w:color w:val="000000"/>
          <w:sz w:val="24"/>
          <w:szCs w:val="24"/>
        </w:rPr>
        <w:t xml:space="preserve">project </w:t>
      </w:r>
      <w:r>
        <w:rPr>
          <w:rFonts w:ascii="Times New Roman" w:eastAsia="Calibri" w:hAnsi="Times New Roman" w:cs="Times New Roman"/>
          <w:color w:val="000000"/>
          <w:sz w:val="24"/>
          <w:szCs w:val="24"/>
        </w:rPr>
        <w:t xml:space="preserve">will </w:t>
      </w:r>
      <w:r w:rsidRPr="001B7B1B">
        <w:rPr>
          <w:rFonts w:ascii="Times New Roman" w:eastAsia="Calibri" w:hAnsi="Times New Roman" w:cs="Times New Roman"/>
          <w:color w:val="000000"/>
          <w:sz w:val="24"/>
          <w:szCs w:val="24"/>
        </w:rPr>
        <w:t>support capacity building needs for APEC developing economies</w:t>
      </w:r>
      <w:r>
        <w:rPr>
          <w:rFonts w:ascii="Times New Roman" w:eastAsia="Calibri" w:hAnsi="Times New Roman" w:cs="Times New Roman"/>
          <w:color w:val="000000"/>
          <w:sz w:val="24"/>
          <w:szCs w:val="24"/>
        </w:rPr>
        <w:t>; and</w:t>
      </w:r>
    </w:p>
    <w:p w:rsidR="0039757B" w:rsidRDefault="0039757B" w:rsidP="0039757B">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 </w:t>
      </w:r>
      <w:r>
        <w:rPr>
          <w:rFonts w:ascii="Times New Roman" w:hAnsi="Times New Roman" w:cs="Times New Roman"/>
          <w:sz w:val="24"/>
          <w:szCs w:val="24"/>
          <w:lang w:val="en-AU"/>
        </w:rPr>
        <w:t xml:space="preserve">align with </w:t>
      </w:r>
      <w:r w:rsidRPr="00D30DA5">
        <w:rPr>
          <w:rFonts w:ascii="Times New Roman" w:eastAsia="Calibri" w:hAnsi="Times New Roman" w:cs="Times New Roman"/>
          <w:color w:val="000000"/>
          <w:sz w:val="24"/>
          <w:szCs w:val="24"/>
        </w:rPr>
        <w:t xml:space="preserve">APEC’s </w:t>
      </w:r>
      <w:r>
        <w:rPr>
          <w:rFonts w:ascii="Times New Roman" w:eastAsia="Calibri" w:hAnsi="Times New Roman" w:cs="Times New Roman"/>
          <w:color w:val="000000"/>
          <w:sz w:val="24"/>
          <w:szCs w:val="24"/>
        </w:rPr>
        <w:t xml:space="preserve">digital economy </w:t>
      </w:r>
      <w:r w:rsidRPr="00D30DA5">
        <w:rPr>
          <w:rFonts w:ascii="Times New Roman" w:eastAsia="Calibri" w:hAnsi="Times New Roman" w:cs="Times New Roman"/>
          <w:color w:val="000000"/>
          <w:sz w:val="24"/>
          <w:szCs w:val="24"/>
        </w:rPr>
        <w:t xml:space="preserve">priorities as identified by the </w:t>
      </w:r>
      <w:hyperlink r:id="rId5" w:history="1">
        <w:r w:rsidRPr="0010049F">
          <w:rPr>
            <w:rStyle w:val="Hyperlink"/>
            <w:rFonts w:ascii="Times New Roman" w:eastAsia="Calibri" w:hAnsi="Times New Roman" w:cs="Times New Roman"/>
            <w:sz w:val="24"/>
            <w:szCs w:val="24"/>
          </w:rPr>
          <w:t>Internet and Digital Economy Roadmap</w:t>
        </w:r>
      </w:hyperlink>
      <w:r w:rsidRPr="00D30DA5">
        <w:rPr>
          <w:rFonts w:ascii="Times New Roman" w:eastAsia="Calibri" w:hAnsi="Times New Roman" w:cs="Times New Roman"/>
          <w:color w:val="000000"/>
          <w:sz w:val="24"/>
          <w:szCs w:val="24"/>
        </w:rPr>
        <w:t xml:space="preserve"> (the Roadmap) and the </w:t>
      </w:r>
      <w:hyperlink r:id="rId6" w:history="1">
        <w:r w:rsidRPr="00AA0C00">
          <w:rPr>
            <w:rStyle w:val="Hyperlink"/>
            <w:rFonts w:ascii="Times New Roman" w:eastAsia="Calibri" w:hAnsi="Times New Roman" w:cs="Times New Roman"/>
            <w:sz w:val="24"/>
            <w:szCs w:val="24"/>
          </w:rPr>
          <w:t>Cross-Border E-Commerce Facilitation Framework</w:t>
        </w:r>
      </w:hyperlink>
      <w:r w:rsidRPr="00D30DA5">
        <w:rPr>
          <w:rFonts w:ascii="Times New Roman" w:eastAsia="Calibri" w:hAnsi="Times New Roman" w:cs="Times New Roman"/>
          <w:color w:val="000000"/>
          <w:sz w:val="24"/>
          <w:szCs w:val="24"/>
        </w:rPr>
        <w:t xml:space="preserve"> (the Framework)</w:t>
      </w:r>
      <w:r>
        <w:rPr>
          <w:rFonts w:ascii="Times New Roman" w:eastAsia="Calibri" w:hAnsi="Times New Roman" w:cs="Times New Roman"/>
          <w:color w:val="000000"/>
          <w:sz w:val="24"/>
          <w:szCs w:val="24"/>
        </w:rPr>
        <w:t>. Specifically, the project must contribute to one or more of the following from either the Roadmap and/or the Framework:</w:t>
      </w:r>
    </w:p>
    <w:p w:rsidR="0039757B" w:rsidRDefault="0039757B" w:rsidP="0039757B">
      <w:pPr>
        <w:jc w:val="both"/>
        <w:rPr>
          <w:rFonts w:ascii="Times New Roman" w:eastAsia="Calibri" w:hAnsi="Times New Roman" w:cs="Times New Roman"/>
          <w:color w:val="000000"/>
          <w:sz w:val="24"/>
          <w:szCs w:val="24"/>
        </w:rPr>
      </w:pPr>
    </w:p>
    <w:tbl>
      <w:tblPr>
        <w:tblStyle w:val="GridTable4-Accent11"/>
        <w:tblW w:w="0" w:type="auto"/>
        <w:tblLook w:val="04A0" w:firstRow="1" w:lastRow="0" w:firstColumn="1" w:lastColumn="0" w:noHBand="0" w:noVBand="1"/>
      </w:tblPr>
      <w:tblGrid>
        <w:gridCol w:w="8926"/>
      </w:tblGrid>
      <w:tr w:rsidR="0039757B" w:rsidRPr="00B068BC" w:rsidTr="00C758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rsidR="0039757B" w:rsidRPr="00B068BC" w:rsidRDefault="0039757B" w:rsidP="00C75850">
            <w:pPr>
              <w:widowControl/>
              <w:autoSpaceDE/>
              <w:autoSpaceDN/>
              <w:spacing w:line="256" w:lineRule="auto"/>
              <w:rPr>
                <w:rFonts w:ascii="Times New Roman" w:eastAsia="Calibri" w:hAnsi="Times New Roman" w:cs="Times New Roman"/>
                <w:color w:val="000000"/>
                <w:sz w:val="24"/>
                <w:szCs w:val="24"/>
              </w:rPr>
            </w:pPr>
            <w:r w:rsidRPr="00B068BC">
              <w:rPr>
                <w:rFonts w:ascii="Times New Roman" w:eastAsia="Calibri" w:hAnsi="Times New Roman" w:cs="Times New Roman"/>
                <w:color w:val="000000"/>
                <w:sz w:val="24"/>
                <w:szCs w:val="24"/>
              </w:rPr>
              <w:t>Roadmap – Key areas of focus:</w:t>
            </w:r>
          </w:p>
        </w:tc>
      </w:tr>
      <w:tr w:rsidR="0039757B" w:rsidRPr="00B068BC" w:rsidTr="00C75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Development of digital infrastructure</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Promotion of Interoperability</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Achievement of universal broadband access</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Development of holistic government policy frameworks for the Internet and Digital Economy</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Promoting coherence and cooperation of regulatory approaches affecting the Internet and Digital Economy</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Promoting innovation and adoption of enabling technologies and services</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Enhancing trust and security in the use of ICTs</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Facilitating the free flow of information and data for the development of the Internet and Digital Economy, while respecting applicable domestic laws and regulations</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Improvement of baseline Internet and Digital Economy measurements</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Enhancing inclusiveness of Internet and Digital Economy</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hAnsi="Times New Roman" w:cs="Times New Roman"/>
                <w:b w:val="0"/>
                <w:sz w:val="24"/>
                <w:szCs w:val="24"/>
                <w:lang w:val="en-AU"/>
              </w:rPr>
              <w:t>Facilitation of E-commerce and Advancing Cooperation on Digital Trade</w:t>
            </w:r>
          </w:p>
        </w:tc>
      </w:tr>
      <w:tr w:rsidR="0039757B" w:rsidRPr="00B068BC" w:rsidTr="00C75850">
        <w:tc>
          <w:tcPr>
            <w:cnfStyle w:val="001000000000" w:firstRow="0" w:lastRow="0" w:firstColumn="1" w:lastColumn="0" w:oddVBand="0" w:evenVBand="0" w:oddHBand="0" w:evenHBand="0" w:firstRowFirstColumn="0" w:firstRowLastColumn="0" w:lastRowFirstColumn="0" w:lastRowLastColumn="0"/>
            <w:tcW w:w="8926" w:type="dxa"/>
            <w:shd w:val="clear" w:color="auto" w:fill="5B9BD5" w:themeFill="accent1"/>
          </w:tcPr>
          <w:p w:rsidR="0039757B" w:rsidRPr="00B068BC" w:rsidRDefault="0039757B" w:rsidP="00C75850">
            <w:pPr>
              <w:widowControl/>
              <w:autoSpaceDE/>
              <w:autoSpaceDN/>
              <w:spacing w:line="256" w:lineRule="auto"/>
              <w:rPr>
                <w:rFonts w:ascii="Times New Roman" w:eastAsia="Calibri" w:hAnsi="Times New Roman" w:cs="Times New Roman"/>
                <w:color w:val="000000"/>
                <w:sz w:val="24"/>
                <w:szCs w:val="24"/>
              </w:rPr>
            </w:pPr>
            <w:r w:rsidRPr="00B068BC">
              <w:rPr>
                <w:rFonts w:ascii="Times New Roman" w:eastAsia="Calibri" w:hAnsi="Times New Roman" w:cs="Times New Roman"/>
                <w:color w:val="000000"/>
                <w:sz w:val="24"/>
                <w:szCs w:val="24"/>
              </w:rPr>
              <w:t>Framework – Objectives:</w:t>
            </w:r>
          </w:p>
        </w:tc>
      </w:tr>
      <w:tr w:rsidR="0039757B" w:rsidRPr="00B068BC" w:rsidTr="00C75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lastRenderedPageBreak/>
              <w:t>Creating a favorable regulatory eco-system for e-commerce to promote predictability, transparency, security, fair competition and consistency</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Promoting development of Information and Communication Technology infrastructure for facilitating cross-border e-commerce</w:t>
            </w:r>
            <w:r>
              <w:rPr>
                <w:rFonts w:ascii="Times New Roman" w:eastAsia="Calibri" w:hAnsi="Times New Roman" w:cs="Times New Roman"/>
                <w:b w:val="0"/>
                <w:color w:val="000000"/>
                <w:sz w:val="24"/>
                <w:szCs w:val="24"/>
              </w:rPr>
              <w:t xml:space="preserve"> and digital trade</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Encouraging and facilitating greater participation of businesses in global commerce, in particular MSMEs</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Times New Roman" w:eastAsia="Calibri" w:hAnsi="Times New Roman" w:cs="Times New Roman"/>
                <w:b w:val="0"/>
                <w:color w:val="000000"/>
                <w:sz w:val="24"/>
                <w:szCs w:val="24"/>
              </w:rPr>
            </w:pPr>
            <w:r w:rsidRPr="008E7D78">
              <w:rPr>
                <w:rFonts w:ascii="Times New Roman" w:eastAsia="Calibri" w:hAnsi="Times New Roman" w:cs="Times New Roman"/>
                <w:b w:val="0"/>
                <w:color w:val="000000"/>
                <w:sz w:val="24"/>
                <w:szCs w:val="24"/>
              </w:rPr>
              <w:t>Enhancing cooperation between public and  private sectors, including  on consumer protection</w:t>
            </w:r>
          </w:p>
          <w:p w:rsidR="0039757B" w:rsidRPr="008E7D78" w:rsidRDefault="0039757B" w:rsidP="0039757B">
            <w:pPr>
              <w:pStyle w:val="ListParagraph"/>
              <w:widowControl/>
              <w:numPr>
                <w:ilvl w:val="0"/>
                <w:numId w:val="1"/>
              </w:numPr>
              <w:autoSpaceDE/>
              <w:autoSpaceDN/>
              <w:spacing w:after="80" w:line="257" w:lineRule="auto"/>
              <w:ind w:left="357" w:hanging="357"/>
              <w:contextualSpacing w:val="0"/>
              <w:rPr>
                <w:rFonts w:ascii="PT Sans Narrow" w:eastAsia="Times New Roman" w:hAnsi="PT Sans Narrow"/>
                <w:b w:val="0"/>
                <w:color w:val="0A0A0A"/>
                <w:sz w:val="24"/>
                <w:szCs w:val="24"/>
                <w:lang w:eastAsia="en-AU"/>
              </w:rPr>
            </w:pPr>
            <w:r w:rsidRPr="008E7D78">
              <w:rPr>
                <w:rFonts w:ascii="Times New Roman" w:eastAsia="Calibri" w:hAnsi="Times New Roman" w:cs="Times New Roman"/>
                <w:b w:val="0"/>
                <w:color w:val="000000"/>
                <w:sz w:val="24"/>
                <w:szCs w:val="24"/>
              </w:rPr>
              <w:t>Contributing to trade and investment facilitation in the region, supporting the achievement of the Bogor Goals and post 2020 vision</w:t>
            </w:r>
            <w:r w:rsidRPr="008E7D78">
              <w:rPr>
                <w:rFonts w:ascii="PT Sans Narrow" w:eastAsia="Times New Roman" w:hAnsi="PT Sans Narrow"/>
                <w:color w:val="0A0A0A"/>
                <w:sz w:val="24"/>
                <w:szCs w:val="24"/>
                <w:lang w:eastAsia="en-AU"/>
              </w:rPr>
              <w:t xml:space="preserve">  </w:t>
            </w:r>
          </w:p>
        </w:tc>
      </w:tr>
    </w:tbl>
    <w:p w:rsidR="0039757B" w:rsidRDefault="0039757B" w:rsidP="0039757B">
      <w:pPr>
        <w:widowControl/>
        <w:autoSpaceDE/>
        <w:autoSpaceDN/>
        <w:spacing w:after="160" w:line="256" w:lineRule="auto"/>
        <w:jc w:val="both"/>
        <w:rPr>
          <w:rFonts w:ascii="Times New Roman" w:eastAsia="Calibri" w:hAnsi="Times New Roman" w:cs="Times New Roman"/>
          <w:color w:val="000000"/>
          <w:sz w:val="24"/>
          <w:szCs w:val="24"/>
        </w:rPr>
      </w:pPr>
    </w:p>
    <w:p w:rsidR="0039757B" w:rsidRDefault="0039757B" w:rsidP="0039757B">
      <w:pPr>
        <w:widowControl/>
        <w:autoSpaceDE/>
        <w:autoSpaceDN/>
        <w:spacing w:after="160" w:line="25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In developing CNs, economies should also: </w:t>
      </w:r>
    </w:p>
    <w:p w:rsidR="0039757B" w:rsidRPr="008E7D78" w:rsidRDefault="0039757B" w:rsidP="0039757B">
      <w:pPr>
        <w:widowControl/>
        <w:numPr>
          <w:ilvl w:val="0"/>
          <w:numId w:val="2"/>
        </w:numPr>
        <w:autoSpaceDE/>
        <w:autoSpaceDN/>
        <w:spacing w:after="120" w:line="256" w:lineRule="auto"/>
        <w:jc w:val="both"/>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d</w:t>
      </w:r>
      <w:r w:rsidRPr="008E7D78">
        <w:rPr>
          <w:rFonts w:ascii="Times New Roman" w:eastAsia="Calibri" w:hAnsi="Times New Roman" w:cs="Times New Roman"/>
          <w:color w:val="000000"/>
          <w:sz w:val="24"/>
          <w:szCs w:val="24"/>
          <w:lang w:eastAsia="en-AU"/>
        </w:rPr>
        <w:t xml:space="preserve">etail how the proposed initiative is relevant to women, and how it will include and benefit women (refer to APEC’s Gender Inclusion Guidelines (refer to </w:t>
      </w:r>
      <w:hyperlink r:id="rId7" w:history="1">
        <w:r w:rsidRPr="008E7D78">
          <w:rPr>
            <w:rFonts w:ascii="Times New Roman" w:eastAsia="Calibri" w:hAnsi="Times New Roman" w:cs="Times New Roman"/>
            <w:color w:val="0563C1"/>
            <w:sz w:val="24"/>
            <w:szCs w:val="24"/>
            <w:u w:val="single"/>
            <w:lang w:eastAsia="en-AU"/>
          </w:rPr>
          <w:t>https://www.apec.org/Publications/2017/11/APEC-Gender-Inclusion-Guidelines</w:t>
        </w:r>
      </w:hyperlink>
      <w:r w:rsidRPr="008E7D78">
        <w:rPr>
          <w:rFonts w:ascii="Times New Roman" w:eastAsia="Calibri" w:hAnsi="Times New Roman" w:cs="Times New Roman"/>
          <w:color w:val="000000"/>
          <w:sz w:val="24"/>
          <w:szCs w:val="24"/>
          <w:lang w:eastAsia="en-AU"/>
        </w:rPr>
        <w:t xml:space="preserve">) and the Policy Partnership on Women and the Economy’s five pillars impacting women’s economic participation (refer to </w:t>
      </w:r>
      <w:hyperlink r:id="rId8" w:history="1">
        <w:r w:rsidRPr="008E7D78">
          <w:rPr>
            <w:rFonts w:ascii="Times New Roman" w:eastAsia="Calibri" w:hAnsi="Times New Roman" w:cs="Times New Roman"/>
            <w:color w:val="0563C1"/>
            <w:sz w:val="24"/>
            <w:szCs w:val="24"/>
            <w:u w:val="single"/>
            <w:lang w:eastAsia="en-AU"/>
          </w:rPr>
          <w:t>https://www.apec.org/Groups/SOM-Steering-Committee-on-Economic-and-Technical-Cooperation/Working-Groups/Policy-Partnership-on-Women-and-the-Economy</w:t>
        </w:r>
      </w:hyperlink>
      <w:r w:rsidRPr="008E7D78">
        <w:rPr>
          <w:rFonts w:ascii="Times New Roman" w:eastAsia="Calibri" w:hAnsi="Times New Roman" w:cs="Times New Roman"/>
          <w:color w:val="000000"/>
          <w:sz w:val="24"/>
          <w:szCs w:val="24"/>
          <w:lang w:eastAsia="en-AU"/>
        </w:rPr>
        <w:t>).</w:t>
      </w:r>
    </w:p>
    <w:p w:rsidR="0039757B" w:rsidRPr="008E7D78" w:rsidRDefault="0039757B" w:rsidP="0039757B">
      <w:pPr>
        <w:widowControl/>
        <w:numPr>
          <w:ilvl w:val="0"/>
          <w:numId w:val="2"/>
        </w:numPr>
        <w:autoSpaceDE/>
        <w:autoSpaceDN/>
        <w:spacing w:after="120" w:line="256" w:lineRule="auto"/>
        <w:jc w:val="both"/>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u</w:t>
      </w:r>
      <w:r w:rsidRPr="008E7D78">
        <w:rPr>
          <w:rFonts w:ascii="Times New Roman" w:eastAsia="Calibri" w:hAnsi="Times New Roman" w:cs="Times New Roman"/>
          <w:color w:val="000000"/>
          <w:sz w:val="24"/>
          <w:szCs w:val="24"/>
          <w:lang w:eastAsia="en-AU"/>
        </w:rPr>
        <w:t>se an evidence-based mode of implementation, using internationally-</w:t>
      </w:r>
      <w:proofErr w:type="spellStart"/>
      <w:r w:rsidRPr="008E7D78">
        <w:rPr>
          <w:rFonts w:ascii="Times New Roman" w:eastAsia="Calibri" w:hAnsi="Times New Roman" w:cs="Times New Roman"/>
          <w:color w:val="000000"/>
          <w:sz w:val="24"/>
          <w:szCs w:val="24"/>
          <w:lang w:eastAsia="en-AU"/>
        </w:rPr>
        <w:t>recognised</w:t>
      </w:r>
      <w:proofErr w:type="spellEnd"/>
      <w:r w:rsidRPr="008E7D78">
        <w:rPr>
          <w:rFonts w:ascii="Times New Roman" w:eastAsia="Calibri" w:hAnsi="Times New Roman" w:cs="Times New Roman"/>
          <w:color w:val="000000"/>
          <w:sz w:val="24"/>
          <w:szCs w:val="24"/>
          <w:lang w:eastAsia="en-AU"/>
        </w:rPr>
        <w:t xml:space="preserve"> data where available. </w:t>
      </w:r>
    </w:p>
    <w:p w:rsidR="0039757B" w:rsidRDefault="0039757B" w:rsidP="0039757B">
      <w:pPr>
        <w:widowControl/>
        <w:numPr>
          <w:ilvl w:val="0"/>
          <w:numId w:val="2"/>
        </w:numPr>
        <w:autoSpaceDE/>
        <w:autoSpaceDN/>
        <w:spacing w:after="120" w:line="256" w:lineRule="auto"/>
        <w:jc w:val="both"/>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e</w:t>
      </w:r>
      <w:r w:rsidRPr="008E7D78">
        <w:rPr>
          <w:rFonts w:ascii="Times New Roman" w:eastAsia="Calibri" w:hAnsi="Times New Roman" w:cs="Times New Roman"/>
          <w:color w:val="000000"/>
          <w:sz w:val="24"/>
          <w:szCs w:val="24"/>
          <w:lang w:eastAsia="en-AU"/>
        </w:rPr>
        <w:t xml:space="preserve">nsure participation and/or planning input from a broad range of stakeholders, including the private sector and/or civil society. </w:t>
      </w:r>
    </w:p>
    <w:p w:rsidR="0039757B" w:rsidRDefault="0039757B" w:rsidP="0039757B">
      <w:pPr>
        <w:widowControl/>
        <w:numPr>
          <w:ilvl w:val="0"/>
          <w:numId w:val="2"/>
        </w:numPr>
        <w:autoSpaceDE/>
        <w:autoSpaceDN/>
        <w:spacing w:after="120" w:line="256" w:lineRule="auto"/>
        <w:jc w:val="both"/>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account for, relevant work, both completed and underway across APEC and in other fora that can contribute to the project.</w:t>
      </w:r>
    </w:p>
    <w:p w:rsidR="0039757B" w:rsidRDefault="0039757B" w:rsidP="0039757B">
      <w:pPr>
        <w:widowControl/>
        <w:numPr>
          <w:ilvl w:val="0"/>
          <w:numId w:val="2"/>
        </w:numPr>
        <w:autoSpaceDE/>
        <w:autoSpaceDN/>
        <w:spacing w:after="120" w:line="256" w:lineRule="auto"/>
        <w:jc w:val="both"/>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t>where possible, develop implementation timelines that are greater than 12 months.</w:t>
      </w:r>
    </w:p>
    <w:p w:rsidR="0039757B" w:rsidRPr="008E7D78" w:rsidRDefault="0039757B" w:rsidP="0039757B">
      <w:pPr>
        <w:jc w:val="both"/>
        <w:rPr>
          <w:rFonts w:ascii="Times New Roman" w:eastAsia="Calibri" w:hAnsi="Times New Roman" w:cs="Times New Roman"/>
          <w:color w:val="000000"/>
          <w:sz w:val="24"/>
          <w:szCs w:val="24"/>
        </w:rPr>
      </w:pPr>
    </w:p>
    <w:p w:rsidR="0039757B" w:rsidRDefault="0039757B" w:rsidP="0039757B">
      <w:pPr>
        <w:jc w:val="both"/>
        <w:rPr>
          <w:rFonts w:ascii="Times New Roman" w:eastAsia="Calibri" w:hAnsi="Times New Roman" w:cs="Times New Roman"/>
          <w:b/>
          <w:color w:val="000000"/>
          <w:sz w:val="24"/>
          <w:szCs w:val="24"/>
        </w:rPr>
      </w:pPr>
      <w:r w:rsidRPr="008E7D78">
        <w:rPr>
          <w:rFonts w:ascii="Times New Roman" w:eastAsia="Calibri" w:hAnsi="Times New Roman" w:cs="Times New Roman"/>
          <w:b/>
          <w:color w:val="000000"/>
          <w:sz w:val="24"/>
          <w:szCs w:val="24"/>
        </w:rPr>
        <w:t>Procedures to access the</w:t>
      </w:r>
      <w:r>
        <w:rPr>
          <w:rFonts w:ascii="Times New Roman" w:eastAsiaTheme="minorEastAsia" w:hAnsi="Times New Roman" w:cs="Times New Roman" w:hint="eastAsia"/>
          <w:b/>
          <w:color w:val="000000"/>
          <w:sz w:val="24"/>
          <w:szCs w:val="24"/>
          <w:lang w:eastAsia="ko-KR"/>
        </w:rPr>
        <w:t xml:space="preserve"> </w:t>
      </w:r>
      <w:r>
        <w:rPr>
          <w:rFonts w:ascii="Times New Roman" w:eastAsia="Calibri" w:hAnsi="Times New Roman" w:cs="Times New Roman"/>
          <w:b/>
          <w:color w:val="000000"/>
          <w:sz w:val="24"/>
          <w:szCs w:val="24"/>
        </w:rPr>
        <w:t>Digital Innovation Sub-fund</w:t>
      </w:r>
    </w:p>
    <w:p w:rsidR="0039757B" w:rsidRDefault="0039757B" w:rsidP="0039757B">
      <w:pPr>
        <w:jc w:val="both"/>
        <w:rPr>
          <w:rFonts w:ascii="Times New Roman" w:eastAsia="Calibri" w:hAnsi="Times New Roman" w:cs="Times New Roman"/>
          <w:color w:val="000000"/>
          <w:sz w:val="24"/>
          <w:szCs w:val="24"/>
        </w:rPr>
      </w:pPr>
      <w:r w:rsidRPr="008E7D78">
        <w:rPr>
          <w:rFonts w:ascii="Times New Roman" w:eastAsia="Calibri" w:hAnsi="Times New Roman" w:cs="Times New Roman"/>
          <w:color w:val="000000"/>
          <w:sz w:val="24"/>
          <w:szCs w:val="24"/>
        </w:rPr>
        <w:t xml:space="preserve">All CNs seeking access to the </w:t>
      </w:r>
      <w:r>
        <w:rPr>
          <w:rFonts w:ascii="Times New Roman" w:eastAsia="Calibri" w:hAnsi="Times New Roman" w:cs="Times New Roman"/>
          <w:color w:val="000000"/>
          <w:sz w:val="24"/>
          <w:szCs w:val="24"/>
        </w:rPr>
        <w:t>D</w:t>
      </w:r>
      <w:r w:rsidRPr="008E7D78">
        <w:rPr>
          <w:rFonts w:ascii="Times New Roman" w:eastAsia="Calibri" w:hAnsi="Times New Roman" w:cs="Times New Roman"/>
          <w:color w:val="000000"/>
          <w:sz w:val="24"/>
          <w:szCs w:val="24"/>
        </w:rPr>
        <w:t xml:space="preserve">igital </w:t>
      </w:r>
      <w:r>
        <w:rPr>
          <w:rFonts w:ascii="Times New Roman" w:eastAsia="Calibri" w:hAnsi="Times New Roman" w:cs="Times New Roman"/>
          <w:color w:val="000000"/>
          <w:sz w:val="24"/>
          <w:szCs w:val="24"/>
        </w:rPr>
        <w:t xml:space="preserve">Innovation </w:t>
      </w:r>
      <w:r w:rsidRPr="008E7D78">
        <w:rPr>
          <w:rFonts w:ascii="Times New Roman" w:eastAsia="Calibri" w:hAnsi="Times New Roman" w:cs="Times New Roman"/>
          <w:color w:val="000000"/>
          <w:sz w:val="24"/>
          <w:szCs w:val="24"/>
        </w:rPr>
        <w:t xml:space="preserve">Sub-fund must be endorsed by the proposing forum and have at least two co-sponsors. </w:t>
      </w:r>
      <w:r>
        <w:rPr>
          <w:rFonts w:ascii="Times New Roman" w:eastAsia="Calibri" w:hAnsi="Times New Roman" w:cs="Times New Roman"/>
          <w:color w:val="000000"/>
          <w:sz w:val="24"/>
          <w:szCs w:val="24"/>
        </w:rPr>
        <w:t xml:space="preserve">CNs must then be submitted to the APEC Project Management Unit by the advertised Final Submission Deadline that applies to the Project Session in question. </w:t>
      </w:r>
      <w:r w:rsidRPr="008E7D78">
        <w:rPr>
          <w:rFonts w:ascii="Times New Roman" w:eastAsia="Calibri" w:hAnsi="Times New Roman" w:cs="Times New Roman"/>
          <w:color w:val="000000"/>
          <w:sz w:val="24"/>
          <w:szCs w:val="24"/>
        </w:rPr>
        <w:t>CNs will then be provided to ECSG</w:t>
      </w:r>
      <w:r>
        <w:rPr>
          <w:rFonts w:ascii="Times New Roman" w:eastAsia="Calibri" w:hAnsi="Times New Roman" w:cs="Times New Roman"/>
          <w:color w:val="000000"/>
          <w:sz w:val="24"/>
          <w:szCs w:val="24"/>
        </w:rPr>
        <w:t xml:space="preserve"> or newly created DESG</w:t>
      </w:r>
      <w:r w:rsidRPr="008E7D78">
        <w:rPr>
          <w:rFonts w:ascii="Times New Roman" w:eastAsia="Calibri" w:hAnsi="Times New Roman" w:cs="Times New Roman"/>
          <w:color w:val="000000"/>
          <w:sz w:val="24"/>
          <w:szCs w:val="24"/>
        </w:rPr>
        <w:t xml:space="preserve">, which will consider the CNs against the </w:t>
      </w:r>
      <w:r>
        <w:rPr>
          <w:rFonts w:ascii="Times New Roman" w:eastAsia="Calibri" w:hAnsi="Times New Roman" w:cs="Times New Roman"/>
          <w:color w:val="000000"/>
          <w:sz w:val="24"/>
          <w:szCs w:val="24"/>
        </w:rPr>
        <w:t>D</w:t>
      </w:r>
      <w:r w:rsidRPr="008E7D78">
        <w:rPr>
          <w:rFonts w:ascii="Times New Roman" w:eastAsia="Calibri" w:hAnsi="Times New Roman" w:cs="Times New Roman"/>
          <w:color w:val="000000"/>
          <w:sz w:val="24"/>
          <w:szCs w:val="24"/>
        </w:rPr>
        <w:t xml:space="preserve">igital </w:t>
      </w:r>
      <w:r>
        <w:rPr>
          <w:rFonts w:ascii="Times New Roman" w:eastAsia="Calibri" w:hAnsi="Times New Roman" w:cs="Times New Roman"/>
          <w:color w:val="000000"/>
          <w:sz w:val="24"/>
          <w:szCs w:val="24"/>
        </w:rPr>
        <w:t xml:space="preserve">Innovation </w:t>
      </w:r>
      <w:r w:rsidRPr="008E7D78">
        <w:rPr>
          <w:rFonts w:ascii="Times New Roman" w:eastAsia="Calibri" w:hAnsi="Times New Roman" w:cs="Times New Roman"/>
          <w:color w:val="000000"/>
          <w:sz w:val="24"/>
          <w:szCs w:val="24"/>
        </w:rPr>
        <w:t xml:space="preserve">Sub-fund eligibility criteria and decide whether it is eligible to access the sub-fund. Eligibility does not guarantee funding. </w:t>
      </w:r>
    </w:p>
    <w:p w:rsidR="0039757B" w:rsidRPr="008E7D78" w:rsidRDefault="0039757B" w:rsidP="0039757B">
      <w:pPr>
        <w:jc w:val="both"/>
        <w:rPr>
          <w:rFonts w:ascii="Times New Roman" w:eastAsia="Calibri" w:hAnsi="Times New Roman" w:cs="Times New Roman"/>
          <w:color w:val="000000"/>
          <w:sz w:val="24"/>
          <w:szCs w:val="24"/>
        </w:rPr>
      </w:pPr>
    </w:p>
    <w:p w:rsidR="0039757B" w:rsidRDefault="0039757B" w:rsidP="0039757B">
      <w:pPr>
        <w:jc w:val="both"/>
        <w:rPr>
          <w:rFonts w:ascii="Times New Roman" w:eastAsia="Calibri" w:hAnsi="Times New Roman" w:cs="Times New Roman"/>
          <w:color w:val="000000"/>
          <w:sz w:val="24"/>
          <w:szCs w:val="24"/>
        </w:rPr>
      </w:pPr>
      <w:r w:rsidRPr="008E7D78">
        <w:rPr>
          <w:rFonts w:ascii="Times New Roman" w:eastAsia="Calibri" w:hAnsi="Times New Roman" w:cs="Times New Roman"/>
          <w:color w:val="000000"/>
          <w:sz w:val="24"/>
          <w:szCs w:val="24"/>
        </w:rPr>
        <w:t xml:space="preserve">CNs that are deemed eligible will be scored by ECSG </w:t>
      </w:r>
      <w:r>
        <w:rPr>
          <w:rFonts w:ascii="Times New Roman" w:eastAsia="Calibri" w:hAnsi="Times New Roman" w:cs="Times New Roman"/>
          <w:color w:val="000000"/>
          <w:sz w:val="24"/>
          <w:szCs w:val="24"/>
        </w:rPr>
        <w:t xml:space="preserve">or newly created DESG </w:t>
      </w:r>
      <w:r w:rsidRPr="008E7D78">
        <w:rPr>
          <w:rFonts w:ascii="Times New Roman" w:eastAsia="Calibri" w:hAnsi="Times New Roman" w:cs="Times New Roman"/>
          <w:color w:val="000000"/>
          <w:sz w:val="24"/>
          <w:szCs w:val="24"/>
        </w:rPr>
        <w:t xml:space="preserve">using the APEC Scoring Template. Consistent with the Guidebook on APEC Projects, the Secretariat will then calculate which CNs can be funded, based on order of scores (highest to lowest), and in consideration of the total amount that is available under the </w:t>
      </w:r>
      <w:r>
        <w:rPr>
          <w:rFonts w:ascii="Times New Roman" w:eastAsia="Calibri" w:hAnsi="Times New Roman" w:cs="Times New Roman"/>
          <w:color w:val="000000"/>
          <w:sz w:val="24"/>
          <w:szCs w:val="24"/>
        </w:rPr>
        <w:t>D</w:t>
      </w:r>
      <w:r w:rsidRPr="008E7D78">
        <w:rPr>
          <w:rFonts w:ascii="Times New Roman" w:eastAsia="Calibri" w:hAnsi="Times New Roman" w:cs="Times New Roman"/>
          <w:color w:val="000000"/>
          <w:sz w:val="24"/>
          <w:szCs w:val="24"/>
        </w:rPr>
        <w:t>igital</w:t>
      </w:r>
      <w:r>
        <w:rPr>
          <w:rFonts w:ascii="Times New Roman" w:eastAsia="Calibri" w:hAnsi="Times New Roman" w:cs="Times New Roman"/>
          <w:color w:val="000000"/>
          <w:sz w:val="24"/>
          <w:szCs w:val="24"/>
        </w:rPr>
        <w:t xml:space="preserve"> Innovation </w:t>
      </w:r>
      <w:r w:rsidRPr="008E7D78">
        <w:rPr>
          <w:rFonts w:ascii="Times New Roman" w:eastAsia="Calibri" w:hAnsi="Times New Roman" w:cs="Times New Roman"/>
          <w:color w:val="000000"/>
          <w:sz w:val="24"/>
          <w:szCs w:val="24"/>
        </w:rPr>
        <w:t xml:space="preserve">Sub-fund, for the APEC Project Session in question. In line with the rules that apply to all APEC project funds, if a CN is found to be ineligible, the CN may not proceed any further in the APEC Project Session in question, either under the </w:t>
      </w:r>
      <w:r>
        <w:rPr>
          <w:rFonts w:ascii="Times New Roman" w:eastAsia="Calibri" w:hAnsi="Times New Roman" w:cs="Times New Roman"/>
          <w:color w:val="000000"/>
          <w:sz w:val="24"/>
          <w:szCs w:val="24"/>
        </w:rPr>
        <w:t>D</w:t>
      </w:r>
      <w:r w:rsidRPr="008E7D78">
        <w:rPr>
          <w:rFonts w:ascii="Times New Roman" w:eastAsia="Calibri" w:hAnsi="Times New Roman" w:cs="Times New Roman"/>
          <w:color w:val="000000"/>
          <w:sz w:val="24"/>
          <w:szCs w:val="24"/>
        </w:rPr>
        <w:t xml:space="preserve">igital </w:t>
      </w:r>
      <w:r>
        <w:rPr>
          <w:rFonts w:ascii="Times New Roman" w:eastAsia="Calibri" w:hAnsi="Times New Roman" w:cs="Times New Roman"/>
          <w:color w:val="000000"/>
          <w:sz w:val="24"/>
          <w:szCs w:val="24"/>
        </w:rPr>
        <w:t xml:space="preserve">Innovation </w:t>
      </w:r>
      <w:r w:rsidRPr="008E7D78">
        <w:rPr>
          <w:rFonts w:ascii="Times New Roman" w:eastAsia="Calibri" w:hAnsi="Times New Roman" w:cs="Times New Roman"/>
          <w:color w:val="000000"/>
          <w:sz w:val="24"/>
          <w:szCs w:val="24"/>
        </w:rPr>
        <w:t xml:space="preserve">Sub-fund, or any other APEC project fund (including the ASF General Fund).  </w:t>
      </w:r>
    </w:p>
    <w:p w:rsidR="0039757B" w:rsidRPr="008E7D78" w:rsidRDefault="0039757B" w:rsidP="0039757B">
      <w:pPr>
        <w:jc w:val="both"/>
        <w:rPr>
          <w:rFonts w:ascii="Times New Roman" w:eastAsia="Calibri" w:hAnsi="Times New Roman" w:cs="Times New Roman"/>
          <w:color w:val="000000"/>
          <w:sz w:val="24"/>
          <w:szCs w:val="24"/>
        </w:rPr>
      </w:pPr>
    </w:p>
    <w:p w:rsidR="0039757B" w:rsidRDefault="0039757B" w:rsidP="0039757B">
      <w:pPr>
        <w:jc w:val="both"/>
        <w:rPr>
          <w:rFonts w:ascii="Times New Roman" w:eastAsia="Calibri" w:hAnsi="Times New Roman" w:cs="Times New Roman"/>
          <w:color w:val="000000"/>
          <w:sz w:val="24"/>
          <w:szCs w:val="24"/>
        </w:rPr>
      </w:pPr>
      <w:r w:rsidRPr="008E7D78">
        <w:rPr>
          <w:rFonts w:ascii="Times New Roman" w:eastAsia="Calibri" w:hAnsi="Times New Roman" w:cs="Times New Roman"/>
          <w:color w:val="000000"/>
          <w:sz w:val="24"/>
          <w:szCs w:val="24"/>
        </w:rPr>
        <w:t xml:space="preserve">CNs will be considered eligible for the </w:t>
      </w:r>
      <w:r>
        <w:rPr>
          <w:rFonts w:ascii="Times New Roman" w:eastAsia="Calibri" w:hAnsi="Times New Roman" w:cs="Times New Roman"/>
          <w:color w:val="000000"/>
          <w:sz w:val="24"/>
          <w:szCs w:val="24"/>
        </w:rPr>
        <w:t>D</w:t>
      </w:r>
      <w:r w:rsidRPr="008E7D78">
        <w:rPr>
          <w:rFonts w:ascii="Times New Roman" w:eastAsia="Calibri" w:hAnsi="Times New Roman" w:cs="Times New Roman"/>
          <w:color w:val="000000"/>
          <w:sz w:val="24"/>
          <w:szCs w:val="24"/>
        </w:rPr>
        <w:t xml:space="preserve">igital </w:t>
      </w:r>
      <w:r>
        <w:rPr>
          <w:rFonts w:ascii="Times New Roman" w:eastAsia="Calibri" w:hAnsi="Times New Roman" w:cs="Times New Roman"/>
          <w:color w:val="000000"/>
          <w:sz w:val="24"/>
          <w:szCs w:val="24"/>
        </w:rPr>
        <w:t xml:space="preserve">Innovation </w:t>
      </w:r>
      <w:r w:rsidRPr="008E7D78">
        <w:rPr>
          <w:rFonts w:ascii="Times New Roman" w:eastAsia="Calibri" w:hAnsi="Times New Roman" w:cs="Times New Roman"/>
          <w:color w:val="000000"/>
          <w:sz w:val="24"/>
          <w:szCs w:val="24"/>
        </w:rPr>
        <w:t xml:space="preserve">Sub-fund unless there is a dissenting view raised by one or more members. </w:t>
      </w:r>
      <w:r>
        <w:rPr>
          <w:rFonts w:ascii="Times New Roman" w:eastAsia="Calibri" w:hAnsi="Times New Roman" w:cs="Times New Roman"/>
          <w:color w:val="000000"/>
          <w:sz w:val="24"/>
          <w:szCs w:val="24"/>
        </w:rPr>
        <w:t>Steering Group</w:t>
      </w:r>
      <w:r w:rsidRPr="008E7D78">
        <w:rPr>
          <w:rFonts w:ascii="Times New Roman" w:eastAsia="Calibri" w:hAnsi="Times New Roman" w:cs="Times New Roman"/>
          <w:color w:val="000000"/>
          <w:sz w:val="24"/>
          <w:szCs w:val="24"/>
        </w:rPr>
        <w:t xml:space="preserve"> members with dissenting views</w:t>
      </w:r>
      <w:r>
        <w:rPr>
          <w:rFonts w:ascii="Times New Roman" w:eastAsiaTheme="minorEastAsia" w:hAnsi="Times New Roman" w:cs="Times New Roman" w:hint="eastAsia"/>
          <w:color w:val="000000"/>
          <w:sz w:val="24"/>
          <w:szCs w:val="24"/>
          <w:lang w:eastAsia="ko-KR"/>
        </w:rPr>
        <w:t xml:space="preserve"> </w:t>
      </w:r>
      <w:r>
        <w:rPr>
          <w:rFonts w:ascii="Times New Roman" w:eastAsia="Calibri" w:hAnsi="Times New Roman" w:cs="Times New Roman"/>
          <w:color w:val="000000"/>
          <w:sz w:val="24"/>
          <w:szCs w:val="24"/>
        </w:rPr>
        <w:t>must</w:t>
      </w:r>
      <w:r w:rsidRPr="008E7D78">
        <w:rPr>
          <w:rFonts w:ascii="Times New Roman" w:eastAsia="Calibri" w:hAnsi="Times New Roman" w:cs="Times New Roman"/>
          <w:color w:val="000000"/>
          <w:sz w:val="24"/>
          <w:szCs w:val="24"/>
        </w:rPr>
        <w:t xml:space="preserve"> provide their reasoning</w:t>
      </w:r>
      <w:r>
        <w:rPr>
          <w:rFonts w:ascii="Times New Roman" w:eastAsia="Calibri" w:hAnsi="Times New Roman" w:cs="Times New Roman"/>
          <w:color w:val="000000"/>
          <w:sz w:val="24"/>
          <w:szCs w:val="24"/>
        </w:rPr>
        <w:t xml:space="preserve"> based on the eligibility criteria</w:t>
      </w:r>
      <w:r w:rsidRPr="008E7D78">
        <w:rPr>
          <w:rFonts w:ascii="Times New Roman" w:eastAsia="Calibri" w:hAnsi="Times New Roman" w:cs="Times New Roman"/>
          <w:color w:val="000000"/>
          <w:sz w:val="24"/>
          <w:szCs w:val="24"/>
        </w:rPr>
        <w:t xml:space="preserve"> in writing</w:t>
      </w:r>
      <w:r>
        <w:rPr>
          <w:rFonts w:ascii="Times New Roman" w:eastAsia="Calibri" w:hAnsi="Times New Roman" w:cs="Times New Roman"/>
          <w:color w:val="000000"/>
          <w:sz w:val="24"/>
          <w:szCs w:val="24"/>
        </w:rPr>
        <w:t xml:space="preserve"> to the APEC Secretariat. The APEC Secretariat will share the reasoning with the proposing economy so that the CN may be improved, as required, for re-submission in a subsequent project session</w:t>
      </w:r>
      <w:r w:rsidRPr="008E7D78">
        <w:rPr>
          <w:rFonts w:ascii="Times New Roman" w:eastAsia="Calibri" w:hAnsi="Times New Roman" w:cs="Times New Roman"/>
          <w:color w:val="000000"/>
          <w:sz w:val="24"/>
          <w:szCs w:val="24"/>
        </w:rPr>
        <w:t xml:space="preserve">. If there is a dissenting view, the </w:t>
      </w:r>
      <w:r>
        <w:rPr>
          <w:rFonts w:ascii="Times New Roman" w:eastAsia="Calibri" w:hAnsi="Times New Roman" w:cs="Times New Roman"/>
          <w:color w:val="000000"/>
          <w:sz w:val="24"/>
          <w:szCs w:val="24"/>
        </w:rPr>
        <w:t>CN</w:t>
      </w:r>
      <w:r w:rsidRPr="008E7D78">
        <w:rPr>
          <w:rFonts w:ascii="Times New Roman" w:eastAsia="Calibri" w:hAnsi="Times New Roman" w:cs="Times New Roman"/>
          <w:color w:val="000000"/>
          <w:sz w:val="24"/>
          <w:szCs w:val="24"/>
        </w:rPr>
        <w:t xml:space="preserve"> will be considered ineligible for the Sub fund. </w:t>
      </w:r>
    </w:p>
    <w:p w:rsidR="0039757B" w:rsidRPr="008E7D78" w:rsidRDefault="0039757B" w:rsidP="0039757B">
      <w:pPr>
        <w:jc w:val="both"/>
        <w:rPr>
          <w:rFonts w:ascii="Times New Roman" w:eastAsia="Calibri" w:hAnsi="Times New Roman" w:cs="Times New Roman"/>
          <w:color w:val="000000"/>
          <w:sz w:val="24"/>
          <w:szCs w:val="24"/>
        </w:rPr>
      </w:pPr>
    </w:p>
    <w:p w:rsidR="0039757B" w:rsidRDefault="0039757B" w:rsidP="0039757B">
      <w:pPr>
        <w:jc w:val="both"/>
        <w:rPr>
          <w:rFonts w:ascii="Times New Roman" w:eastAsia="Calibri" w:hAnsi="Times New Roman" w:cs="Times New Roman"/>
          <w:b/>
          <w:color w:val="000000"/>
          <w:sz w:val="24"/>
          <w:szCs w:val="24"/>
        </w:rPr>
      </w:pPr>
      <w:r w:rsidRPr="008E7D78">
        <w:rPr>
          <w:rFonts w:ascii="Times New Roman" w:eastAsia="Calibri" w:hAnsi="Times New Roman" w:cs="Times New Roman"/>
          <w:b/>
          <w:color w:val="000000"/>
          <w:sz w:val="24"/>
          <w:szCs w:val="24"/>
        </w:rPr>
        <w:t xml:space="preserve">Administration of the </w:t>
      </w:r>
      <w:r w:rsidRPr="00682DB6">
        <w:rPr>
          <w:rFonts w:ascii="Times New Roman" w:eastAsia="Calibri" w:hAnsi="Times New Roman" w:cs="Times New Roman"/>
          <w:b/>
          <w:color w:val="000000"/>
          <w:sz w:val="24"/>
          <w:szCs w:val="24"/>
        </w:rPr>
        <w:t xml:space="preserve">digital </w:t>
      </w:r>
      <w:r w:rsidRPr="008E7D78">
        <w:rPr>
          <w:rFonts w:ascii="Times New Roman" w:eastAsia="Calibri" w:hAnsi="Times New Roman" w:cs="Times New Roman"/>
          <w:b/>
          <w:color w:val="000000"/>
          <w:sz w:val="24"/>
          <w:szCs w:val="24"/>
        </w:rPr>
        <w:t>Sub-fund</w:t>
      </w:r>
    </w:p>
    <w:p w:rsidR="0039757B" w:rsidRDefault="0039757B" w:rsidP="0039757B">
      <w:pPr>
        <w:jc w:val="both"/>
        <w:rPr>
          <w:rFonts w:ascii="Times New Roman" w:eastAsia="Calibri" w:hAnsi="Times New Roman" w:cs="Times New Roman"/>
          <w:color w:val="000000"/>
          <w:sz w:val="24"/>
          <w:szCs w:val="24"/>
        </w:rPr>
      </w:pPr>
      <w:r w:rsidRPr="008E7D78">
        <w:rPr>
          <w:rFonts w:ascii="Times New Roman" w:eastAsia="Calibri" w:hAnsi="Times New Roman" w:cs="Times New Roman"/>
          <w:color w:val="000000"/>
          <w:sz w:val="24"/>
          <w:szCs w:val="24"/>
        </w:rPr>
        <w:t xml:space="preserve">The APEC Secretariat will be responsible for the administration of the </w:t>
      </w:r>
      <w:r>
        <w:rPr>
          <w:rFonts w:ascii="Times New Roman" w:eastAsia="Calibri" w:hAnsi="Times New Roman" w:cs="Times New Roman"/>
          <w:color w:val="000000"/>
          <w:sz w:val="24"/>
          <w:szCs w:val="24"/>
        </w:rPr>
        <w:t>Digital</w:t>
      </w:r>
      <w:r>
        <w:rPr>
          <w:rFonts w:ascii="Times New Roman" w:eastAsiaTheme="minorEastAsia" w:hAnsi="Times New Roman" w:cs="Times New Roman" w:hint="eastAsia"/>
          <w:color w:val="000000"/>
          <w:sz w:val="24"/>
          <w:szCs w:val="24"/>
          <w:lang w:eastAsia="ko-KR"/>
        </w:rPr>
        <w:t xml:space="preserve"> </w:t>
      </w:r>
      <w:r>
        <w:rPr>
          <w:rFonts w:ascii="Times New Roman" w:eastAsia="Calibri" w:hAnsi="Times New Roman" w:cs="Times New Roman"/>
          <w:color w:val="000000"/>
          <w:sz w:val="24"/>
          <w:szCs w:val="24"/>
        </w:rPr>
        <w:t xml:space="preserve">Innovation </w:t>
      </w:r>
      <w:r w:rsidRPr="008E7D78">
        <w:rPr>
          <w:rFonts w:ascii="Times New Roman" w:eastAsia="Calibri" w:hAnsi="Times New Roman" w:cs="Times New Roman"/>
          <w:color w:val="000000"/>
          <w:sz w:val="24"/>
          <w:szCs w:val="24"/>
        </w:rPr>
        <w:t>Sub-fund.</w:t>
      </w:r>
      <w:r>
        <w:rPr>
          <w:rFonts w:ascii="Times New Roman" w:eastAsiaTheme="minorEastAsia" w:hAnsi="Times New Roman" w:cs="Times New Roman" w:hint="eastAsia"/>
          <w:color w:val="000000"/>
          <w:sz w:val="24"/>
          <w:szCs w:val="24"/>
          <w:lang w:eastAsia="ko-KR"/>
        </w:rPr>
        <w:t xml:space="preserve"> </w:t>
      </w:r>
      <w:r w:rsidRPr="008E7D78">
        <w:rPr>
          <w:rFonts w:ascii="Times New Roman" w:eastAsia="Calibri" w:hAnsi="Times New Roman" w:cs="Times New Roman"/>
          <w:color w:val="000000"/>
          <w:sz w:val="24"/>
          <w:szCs w:val="24"/>
        </w:rPr>
        <w:t>It will be subject to the procedures and timelines governing the APEC Support Fund, as set out in the Guidebook on APEC Projects and the APEC website</w:t>
      </w:r>
      <w:r>
        <w:rPr>
          <w:rFonts w:ascii="Times New Roman" w:eastAsia="Calibri" w:hAnsi="Times New Roman" w:cs="Times New Roman"/>
          <w:color w:val="000000"/>
          <w:sz w:val="24"/>
          <w:szCs w:val="24"/>
        </w:rPr>
        <w:t>:</w:t>
      </w:r>
    </w:p>
    <w:p w:rsidR="0039757B" w:rsidRPr="008E7D78" w:rsidRDefault="0039757B" w:rsidP="0039757B">
      <w:pPr>
        <w:widowControl/>
        <w:shd w:val="clear" w:color="auto" w:fill="FFFFFF"/>
        <w:autoSpaceDE/>
        <w:autoSpaceDN/>
        <w:spacing w:after="160" w:line="256" w:lineRule="auto"/>
        <w:jc w:val="both"/>
        <w:rPr>
          <w:rFonts w:ascii="Times New Roman" w:eastAsia="Calibri" w:hAnsi="Times New Roman" w:cs="Times New Roman"/>
          <w:color w:val="000000"/>
          <w:sz w:val="24"/>
          <w:szCs w:val="24"/>
        </w:rPr>
      </w:pPr>
      <w:hyperlink r:id="rId9" w:history="1">
        <w:r w:rsidRPr="008E7D78">
          <w:rPr>
            <w:rFonts w:ascii="Times New Roman" w:eastAsia="Calibri" w:hAnsi="Times New Roman" w:cs="Times New Roman"/>
            <w:color w:val="0563C1"/>
            <w:sz w:val="24"/>
            <w:szCs w:val="24"/>
            <w:u w:val="single"/>
          </w:rPr>
          <w:t>https://www.apec.org/Projects/Applying%20for%20Funds.aspx</w:t>
        </w:r>
      </w:hyperlink>
      <w:r w:rsidRPr="008E7D78">
        <w:rPr>
          <w:rFonts w:ascii="Times New Roman" w:eastAsia="Calibri" w:hAnsi="Times New Roman" w:cs="Times New Roman"/>
          <w:color w:val="000000"/>
          <w:sz w:val="24"/>
          <w:szCs w:val="24"/>
        </w:rPr>
        <w:t xml:space="preserve">.  </w:t>
      </w:r>
    </w:p>
    <w:p w:rsidR="00FE2A6C" w:rsidRDefault="00FE2A6C">
      <w:bookmarkStart w:id="0" w:name="_GoBack"/>
      <w:bookmarkEnd w:id="0"/>
    </w:p>
    <w:sectPr w:rsidR="00FE2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Narrow">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B0B5B"/>
    <w:multiLevelType w:val="hybridMultilevel"/>
    <w:tmpl w:val="C890E76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48DE3A3C"/>
    <w:multiLevelType w:val="hybridMultilevel"/>
    <w:tmpl w:val="A1FE3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7B"/>
    <w:rsid w:val="0039757B"/>
    <w:rsid w:val="00FE2A6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49BA9-54CA-4828-8B02-A6221EF0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757B"/>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57B"/>
    <w:rPr>
      <w:color w:val="0563C1" w:themeColor="hyperlink"/>
      <w:u w:val="single"/>
    </w:rPr>
  </w:style>
  <w:style w:type="paragraph" w:styleId="ListParagraph">
    <w:name w:val="List Paragraph"/>
    <w:basedOn w:val="Normal"/>
    <w:uiPriority w:val="34"/>
    <w:qFormat/>
    <w:rsid w:val="0039757B"/>
    <w:pPr>
      <w:ind w:left="720"/>
      <w:contextualSpacing/>
    </w:pPr>
  </w:style>
  <w:style w:type="table" w:customStyle="1" w:styleId="GridTable4-Accent11">
    <w:name w:val="Grid Table 4 - Accent 11"/>
    <w:basedOn w:val="TableNormal"/>
    <w:uiPriority w:val="49"/>
    <w:rsid w:val="0039757B"/>
    <w:pPr>
      <w:spacing w:after="0" w:line="240" w:lineRule="auto"/>
      <w:jc w:val="both"/>
    </w:pPr>
    <w:rPr>
      <w:rFonts w:eastAsiaTheme="minorEastAsia"/>
      <w:kern w:val="2"/>
      <w:sz w:val="20"/>
      <w:lang w:val="en-US"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ec.org/Groups/SOM-Steering-Committee-on-Economic-and-Technical-Cooperation/Working-Groups/Policy-Partnership-on-Women-and-the-Economy" TargetMode="External"/><Relationship Id="rId3" Type="http://schemas.openxmlformats.org/officeDocument/2006/relationships/settings" Target="settings.xml"/><Relationship Id="rId7" Type="http://schemas.openxmlformats.org/officeDocument/2006/relationships/hyperlink" Target="https://www.apec.org/Publications/2017/11/APEC-Gender-Inclusion-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ec.org/Meeting-Papers/Annual-Ministerial-Meetings/2017/2017_amm/Annex-A" TargetMode="External"/><Relationship Id="rId11" Type="http://schemas.openxmlformats.org/officeDocument/2006/relationships/theme" Target="theme/theme1.xml"/><Relationship Id="rId5" Type="http://schemas.openxmlformats.org/officeDocument/2006/relationships/hyperlink" Target="https://www.google.com/url?sa=t&amp;rct=j&amp;q=&amp;esrc=s&amp;source=web&amp;cd=1&amp;ved=2ahUKEwj7pITqrfjdAhVWMt4KHTNAAI4QFjAAegQICRAC&amp;url=https%3A%2F%2Fwww.apec.org%2F-%2Fmedia%2FFiles%2FGroups%2FECSG%2F17_csom_006.pdf&amp;usg=AOvVaw1jw0C5EFIfR1D1KbhjcOO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ec.org/Projects/Applying%20for%20Fun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Simson</dc:creator>
  <cp:keywords/>
  <dc:description/>
  <cp:lastModifiedBy>Daniel Simson</cp:lastModifiedBy>
  <cp:revision>1</cp:revision>
  <dcterms:created xsi:type="dcterms:W3CDTF">2019-03-01T03:50:00Z</dcterms:created>
  <dcterms:modified xsi:type="dcterms:W3CDTF">2019-03-01T03:51:00Z</dcterms:modified>
</cp:coreProperties>
</file>