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9155B" w14:textId="77777777" w:rsidR="009A3036" w:rsidRDefault="009A3036" w:rsidP="009701EA">
      <w:pPr>
        <w:tabs>
          <w:tab w:val="center" w:pos="4320"/>
          <w:tab w:val="right" w:pos="8640"/>
        </w:tabs>
        <w:adjustRightInd w:val="0"/>
        <w:snapToGrid w:val="0"/>
        <w:jc w:val="center"/>
        <w:rPr>
          <w:b/>
          <w:sz w:val="28"/>
        </w:rPr>
      </w:pPr>
      <w:bookmarkStart w:id="0" w:name="_GoBack"/>
      <w:bookmarkEnd w:id="0"/>
      <w:r w:rsidRPr="00A157ED">
        <w:rPr>
          <w:b/>
          <w:sz w:val="28"/>
        </w:rPr>
        <w:t xml:space="preserve">Eligibility Criteria and Guidelines for Accessing the </w:t>
      </w:r>
    </w:p>
    <w:p w14:paraId="1875347A" w14:textId="77C53D5D" w:rsidR="009A3036" w:rsidRDefault="009A3036" w:rsidP="009A3036">
      <w:pPr>
        <w:jc w:val="center"/>
        <w:rPr>
          <w:b/>
          <w:sz w:val="28"/>
        </w:rPr>
      </w:pPr>
      <w:r w:rsidRPr="00A157ED">
        <w:rPr>
          <w:b/>
          <w:sz w:val="28"/>
        </w:rPr>
        <w:t>Micro, Small and Medium Enterprises (MSME) Sub-Fund</w:t>
      </w:r>
    </w:p>
    <w:p w14:paraId="3087C226" w14:textId="77777777" w:rsidR="009A3036" w:rsidRPr="00A157ED" w:rsidRDefault="009A3036" w:rsidP="009A3036">
      <w:pPr>
        <w:jc w:val="center"/>
        <w:rPr>
          <w:b/>
          <w:sz w:val="28"/>
        </w:rPr>
      </w:pPr>
    </w:p>
    <w:p w14:paraId="1954418A" w14:textId="77777777" w:rsidR="009A3036" w:rsidRDefault="009A3036" w:rsidP="00FD7A11">
      <w:pPr>
        <w:jc w:val="both"/>
        <w:rPr>
          <w:b/>
          <w:u w:val="single"/>
        </w:rPr>
      </w:pPr>
      <w:r w:rsidRPr="00E1764D">
        <w:rPr>
          <w:b/>
          <w:u w:val="single"/>
        </w:rPr>
        <w:t>Background</w:t>
      </w:r>
    </w:p>
    <w:p w14:paraId="5063008E" w14:textId="77777777" w:rsidR="009A3036" w:rsidRDefault="009A3036" w:rsidP="00FD7A11">
      <w:pPr>
        <w:jc w:val="both"/>
      </w:pPr>
      <w:r>
        <w:t xml:space="preserve">Canada’s proposal to establish a dedicated MSME Sub-Fund was presented at all the relevant working groups and committees in 2015. At the </w:t>
      </w:r>
      <w:r w:rsidRPr="00F83DE8">
        <w:t>APEC Economic Leaders' Meeting held on 18–19 November 2015 in Pasay</w:t>
      </w:r>
      <w:r>
        <w:t xml:space="preserve">, Philippines, Canadian Prime Minister Justin Trudeau announced that Canada would contribute C$2.0 million towards an APEC MSME Sub-Fund as part of a broader C$4.74 million Canada-APEC Growing Businesses Partnership initiative.  </w:t>
      </w:r>
    </w:p>
    <w:p w14:paraId="3FBDB182" w14:textId="77777777" w:rsidR="009A3036" w:rsidRPr="00F6346F" w:rsidRDefault="009A3036" w:rsidP="00FD7A11">
      <w:pPr>
        <w:jc w:val="both"/>
        <w:rPr>
          <w:sz w:val="16"/>
          <w:szCs w:val="16"/>
        </w:rPr>
      </w:pPr>
    </w:p>
    <w:p w14:paraId="011934FC" w14:textId="77777777" w:rsidR="009A3036" w:rsidRDefault="009A3036" w:rsidP="00FD7A11">
      <w:pPr>
        <w:jc w:val="both"/>
        <w:rPr>
          <w:b/>
          <w:u w:val="single"/>
        </w:rPr>
      </w:pPr>
      <w:r w:rsidRPr="00E1764D">
        <w:rPr>
          <w:b/>
          <w:u w:val="single"/>
        </w:rPr>
        <w:t xml:space="preserve">Administration of the </w:t>
      </w:r>
      <w:r>
        <w:rPr>
          <w:b/>
          <w:u w:val="single"/>
        </w:rPr>
        <w:t>M</w:t>
      </w:r>
      <w:r w:rsidRPr="00E1764D">
        <w:rPr>
          <w:b/>
          <w:u w:val="single"/>
        </w:rPr>
        <w:t>SME Sub-Fund</w:t>
      </w:r>
    </w:p>
    <w:p w14:paraId="3F126284" w14:textId="6009ADC4" w:rsidR="009A3036" w:rsidRDefault="009A3036" w:rsidP="00FD7A11">
      <w:pPr>
        <w:jc w:val="both"/>
      </w:pPr>
      <w:r>
        <w:t xml:space="preserve">The APEC Secretariat will </w:t>
      </w:r>
      <w:r w:rsidR="00F6346F">
        <w:t>administer</w:t>
      </w:r>
      <w:r>
        <w:t xml:space="preserve"> </w:t>
      </w:r>
      <w:r w:rsidR="00F6346F">
        <w:t>the MSME Sub-Fund</w:t>
      </w:r>
      <w:r>
        <w:t xml:space="preserve"> according to the APEC project cycle, as outlined in the latest edition of the </w:t>
      </w:r>
      <w:r w:rsidRPr="00F130AF">
        <w:rPr>
          <w:i/>
        </w:rPr>
        <w:t>Guidebook on APEC Projects</w:t>
      </w:r>
      <w:r>
        <w:t xml:space="preserve">. </w:t>
      </w:r>
    </w:p>
    <w:p w14:paraId="6B4F9F24" w14:textId="77777777" w:rsidR="009A3036" w:rsidRPr="00F6346F" w:rsidRDefault="009A3036" w:rsidP="00FD7A11">
      <w:pPr>
        <w:jc w:val="both"/>
        <w:rPr>
          <w:sz w:val="16"/>
          <w:szCs w:val="16"/>
        </w:rPr>
      </w:pPr>
    </w:p>
    <w:p w14:paraId="5C998398" w14:textId="77777777" w:rsidR="00F6346F" w:rsidRDefault="00F6346F" w:rsidP="00F6346F">
      <w:pPr>
        <w:jc w:val="both"/>
        <w:rPr>
          <w:b/>
          <w:u w:val="single"/>
        </w:rPr>
      </w:pPr>
      <w:r>
        <w:rPr>
          <w:b/>
          <w:u w:val="single"/>
        </w:rPr>
        <w:t>MSME</w:t>
      </w:r>
      <w:r w:rsidRPr="00064626">
        <w:rPr>
          <w:b/>
          <w:u w:val="single"/>
        </w:rPr>
        <w:t xml:space="preserve"> Sub-Fund Eligibility Criteria</w:t>
      </w:r>
    </w:p>
    <w:p w14:paraId="07705146" w14:textId="77777777" w:rsidR="00F6346F" w:rsidRDefault="00F6346F" w:rsidP="00F6346F">
      <w:pPr>
        <w:jc w:val="both"/>
      </w:pPr>
      <w:r>
        <w:t xml:space="preserve">Drawing on the direction established by the </w:t>
      </w:r>
      <w:hyperlink r:id="rId7" w:history="1">
        <w:proofErr w:type="spellStart"/>
        <w:r w:rsidRPr="009874B7">
          <w:rPr>
            <w:rStyle w:val="Hyperlink"/>
          </w:rPr>
          <w:t>Boracay</w:t>
        </w:r>
        <w:proofErr w:type="spellEnd"/>
        <w:r w:rsidRPr="009874B7">
          <w:rPr>
            <w:rStyle w:val="Hyperlink"/>
          </w:rPr>
          <w:t xml:space="preserve"> Action Agenda to Globalize MSMEs</w:t>
        </w:r>
      </w:hyperlink>
      <w:r>
        <w:t xml:space="preserve">, </w:t>
      </w:r>
      <w:hyperlink r:id="rId8" w:history="1">
        <w:r w:rsidRPr="00722D9B">
          <w:rPr>
            <w:rStyle w:val="Hyperlink"/>
          </w:rPr>
          <w:t>the APEC Iloilo Initiative: Growing Global MSMEs for Inclusive Development</w:t>
        </w:r>
      </w:hyperlink>
      <w:r>
        <w:t xml:space="preserve">, the </w:t>
      </w:r>
      <w:hyperlink r:id="rId9" w:history="1">
        <w:r w:rsidRPr="009874B7">
          <w:rPr>
            <w:rStyle w:val="Hyperlink"/>
          </w:rPr>
          <w:t>SMEWG Strategic Plan 2013-2016</w:t>
        </w:r>
      </w:hyperlink>
      <w:r>
        <w:t xml:space="preserve"> and the </w:t>
      </w:r>
      <w:hyperlink r:id="rId10" w:history="1">
        <w:r w:rsidRPr="009874B7">
          <w:rPr>
            <w:rStyle w:val="Hyperlink"/>
          </w:rPr>
          <w:t>PPWE Strategic Plan 2014-2017</w:t>
        </w:r>
      </w:hyperlink>
      <w:r>
        <w:t xml:space="preserve">, the proposed MSME Sub-Fund criteria are intended to directly involve developing APEC MSMEs in project activities, to integrate key elements of the SMEWG and PPWE Strategic Plans and to support the building of inclusive economies through MSME-led poverty reduction. </w:t>
      </w:r>
    </w:p>
    <w:p w14:paraId="7AEA9489" w14:textId="77777777" w:rsidR="00F6346F" w:rsidRPr="00F6346F" w:rsidRDefault="00F6346F" w:rsidP="00F6346F">
      <w:pPr>
        <w:jc w:val="both"/>
        <w:rPr>
          <w:sz w:val="16"/>
          <w:szCs w:val="16"/>
        </w:rPr>
      </w:pPr>
    </w:p>
    <w:p w14:paraId="14514F1F" w14:textId="0059032E" w:rsidR="00F6346F" w:rsidRDefault="00F6346F" w:rsidP="00F6346F">
      <w:pPr>
        <w:jc w:val="both"/>
      </w:pPr>
      <w:r>
        <w:t xml:space="preserve">To be considered for the MSME Sub-Fund, </w:t>
      </w:r>
      <w:r w:rsidR="00030553">
        <w:t>C</w:t>
      </w:r>
      <w:r>
        <w:t xml:space="preserve">oncept </w:t>
      </w:r>
      <w:r w:rsidR="00030553">
        <w:t>N</w:t>
      </w:r>
      <w:r>
        <w:t>otes</w:t>
      </w:r>
      <w:r w:rsidRPr="00670BA2">
        <w:t xml:space="preserve"> must </w:t>
      </w:r>
      <w:r>
        <w:t xml:space="preserve">clearly </w:t>
      </w:r>
      <w:r w:rsidRPr="00670BA2">
        <w:t xml:space="preserve">demonstrate how </w:t>
      </w:r>
      <w:r>
        <w:t xml:space="preserve">developing APEC </w:t>
      </w:r>
      <w:r w:rsidRPr="00670BA2">
        <w:t>MSMEs will directly participate in, and benefit from</w:t>
      </w:r>
      <w:r>
        <w:t>,</w:t>
      </w:r>
      <w:r w:rsidRPr="00670BA2">
        <w:t xml:space="preserve"> the proposal from a poverty reduction perspective</w:t>
      </w:r>
      <w:r w:rsidRPr="00ED1914">
        <w:t>.</w:t>
      </w:r>
      <w:r>
        <w:t xml:space="preserve"> </w:t>
      </w:r>
    </w:p>
    <w:p w14:paraId="0E551BC7" w14:textId="77777777" w:rsidR="00F6346F" w:rsidRPr="00F6346F" w:rsidRDefault="00F6346F" w:rsidP="00F6346F">
      <w:pPr>
        <w:jc w:val="both"/>
        <w:rPr>
          <w:sz w:val="16"/>
          <w:szCs w:val="16"/>
        </w:rPr>
      </w:pPr>
    </w:p>
    <w:p w14:paraId="721747A7" w14:textId="160D271C" w:rsidR="00F6346F" w:rsidRDefault="00F6346F" w:rsidP="00F6346F">
      <w:pPr>
        <w:jc w:val="both"/>
      </w:pPr>
      <w:r w:rsidRPr="00F6346F">
        <w:rPr>
          <w:b/>
        </w:rPr>
        <w:t xml:space="preserve">No single </w:t>
      </w:r>
      <w:r w:rsidR="00030553">
        <w:rPr>
          <w:b/>
        </w:rPr>
        <w:t>C</w:t>
      </w:r>
      <w:r w:rsidRPr="00F6346F">
        <w:rPr>
          <w:b/>
        </w:rPr>
        <w:t xml:space="preserve">oncept </w:t>
      </w:r>
      <w:r w:rsidR="00030553">
        <w:rPr>
          <w:b/>
        </w:rPr>
        <w:t>N</w:t>
      </w:r>
      <w:r w:rsidRPr="00F6346F">
        <w:rPr>
          <w:b/>
        </w:rPr>
        <w:t>ote/</w:t>
      </w:r>
      <w:r w:rsidR="00030553">
        <w:rPr>
          <w:b/>
        </w:rPr>
        <w:t>Project P</w:t>
      </w:r>
      <w:r w:rsidRPr="00F6346F">
        <w:rPr>
          <w:b/>
        </w:rPr>
        <w:t>roposal shall request in excess of USD 125,000 from the Sub-Fund</w:t>
      </w:r>
      <w:r w:rsidRPr="00670BA2">
        <w:t>.</w:t>
      </w:r>
      <w:r w:rsidRPr="00ED1914">
        <w:t xml:space="preserve"> </w:t>
      </w:r>
    </w:p>
    <w:p w14:paraId="0224D1E0" w14:textId="77777777" w:rsidR="00F6346F" w:rsidRPr="00F6346F" w:rsidRDefault="00F6346F" w:rsidP="00F6346F">
      <w:pPr>
        <w:jc w:val="both"/>
        <w:rPr>
          <w:sz w:val="16"/>
          <w:szCs w:val="16"/>
        </w:rPr>
      </w:pPr>
    </w:p>
    <w:p w14:paraId="599429C2" w14:textId="13F2049F" w:rsidR="00F6346F" w:rsidRDefault="00F6346F" w:rsidP="00F6346F">
      <w:pPr>
        <w:jc w:val="both"/>
      </w:pPr>
      <w:r>
        <w:t xml:space="preserve">In addition to the above criteria, all </w:t>
      </w:r>
      <w:r w:rsidR="00030553">
        <w:t>C</w:t>
      </w:r>
      <w:r>
        <w:t xml:space="preserve">oncept </w:t>
      </w:r>
      <w:r w:rsidR="00030553">
        <w:t>N</w:t>
      </w:r>
      <w:r>
        <w:t>otes made under the MSME Sub-Fund must meet the following criteria:</w:t>
      </w:r>
    </w:p>
    <w:p w14:paraId="2412D7D7" w14:textId="77777777" w:rsidR="00F6346F" w:rsidRPr="00F6346F" w:rsidRDefault="00F6346F" w:rsidP="00F6346F">
      <w:pPr>
        <w:jc w:val="both"/>
        <w:rPr>
          <w:sz w:val="16"/>
          <w:szCs w:val="16"/>
        </w:rPr>
      </w:pPr>
    </w:p>
    <w:p w14:paraId="01EF0DDA" w14:textId="77777777" w:rsidR="00F6346F" w:rsidRDefault="00F6346F" w:rsidP="00F6346F">
      <w:pPr>
        <w:pStyle w:val="ListParagraph"/>
        <w:numPr>
          <w:ilvl w:val="0"/>
          <w:numId w:val="5"/>
        </w:numPr>
        <w:spacing w:after="200"/>
        <w:contextualSpacing/>
        <w:jc w:val="both"/>
      </w:pPr>
      <w:r>
        <w:t>Find support from more than one APEC economy;</w:t>
      </w:r>
    </w:p>
    <w:p w14:paraId="4AF32741" w14:textId="77777777" w:rsidR="00F6346F" w:rsidRDefault="00F6346F" w:rsidP="00F6346F">
      <w:pPr>
        <w:pStyle w:val="ListParagraph"/>
        <w:numPr>
          <w:ilvl w:val="0"/>
          <w:numId w:val="5"/>
        </w:numPr>
        <w:spacing w:after="200"/>
        <w:contextualSpacing/>
        <w:jc w:val="both"/>
      </w:pPr>
      <w:r>
        <w:t>Support MSME-related capacity building activities in one or more APEC developing economies</w:t>
      </w:r>
      <w:r>
        <w:rPr>
          <w:rStyle w:val="FootnoteReference"/>
        </w:rPr>
        <w:footnoteReference w:id="1"/>
      </w:r>
      <w:r>
        <w:t xml:space="preserve"> that are tailored to meet the beneficiary economies’ specific needs;</w:t>
      </w:r>
    </w:p>
    <w:p w14:paraId="0C87DAAF" w14:textId="130B0000" w:rsidR="00021DA5" w:rsidRDefault="00F6346F" w:rsidP="004E50B9">
      <w:pPr>
        <w:pStyle w:val="ListParagraph"/>
        <w:numPr>
          <w:ilvl w:val="0"/>
          <w:numId w:val="5"/>
        </w:numPr>
        <w:spacing w:after="200"/>
        <w:contextualSpacing/>
        <w:jc w:val="both"/>
      </w:pPr>
      <w:r>
        <w:t>Support the development of human capital and/or entrepreneurial capacity among MSMEs in developing APEC economies;</w:t>
      </w:r>
    </w:p>
    <w:p w14:paraId="2BF0CF4E" w14:textId="77777777" w:rsidR="00F6346F" w:rsidRDefault="00F6346F" w:rsidP="00F6346F">
      <w:pPr>
        <w:pStyle w:val="ListParagraph"/>
        <w:numPr>
          <w:ilvl w:val="0"/>
          <w:numId w:val="6"/>
        </w:numPr>
        <w:spacing w:after="200"/>
        <w:contextualSpacing/>
        <w:jc w:val="both"/>
      </w:pPr>
      <w:r>
        <w:t>Address the unique challenges faced by women-led MSMEs, especially related to finance, market access, technological innovation and human capital, by i</w:t>
      </w:r>
      <w:r w:rsidRPr="00B526BB">
        <w:t>ntegrat</w:t>
      </w:r>
      <w:r>
        <w:t>ing</w:t>
      </w:r>
      <w:r w:rsidRPr="00B526BB">
        <w:t xml:space="preserve"> gender responsive policies and programs into </w:t>
      </w:r>
      <w:r>
        <w:t xml:space="preserve">project </w:t>
      </w:r>
      <w:r w:rsidRPr="00B526BB">
        <w:t>activities</w:t>
      </w:r>
      <w:r>
        <w:t xml:space="preserve">; </w:t>
      </w:r>
    </w:p>
    <w:p w14:paraId="504DBA2D" w14:textId="77777777" w:rsidR="00F6346F" w:rsidRDefault="00F6346F" w:rsidP="00F6346F">
      <w:pPr>
        <w:pStyle w:val="ListParagraph"/>
        <w:numPr>
          <w:ilvl w:val="0"/>
          <w:numId w:val="6"/>
        </w:numPr>
        <w:spacing w:after="200"/>
        <w:contextualSpacing/>
        <w:jc w:val="both"/>
      </w:pPr>
      <w:r>
        <w:t>Leverage the widest range of partners, including private sector, civil society, as well as academic and financial institutions;</w:t>
      </w:r>
    </w:p>
    <w:p w14:paraId="50EC3E31" w14:textId="77777777" w:rsidR="00F6346F" w:rsidRDefault="00F6346F" w:rsidP="00F6346F">
      <w:pPr>
        <w:pStyle w:val="ListParagraph"/>
        <w:numPr>
          <w:ilvl w:val="0"/>
          <w:numId w:val="6"/>
        </w:numPr>
        <w:spacing w:after="200"/>
        <w:contextualSpacing/>
        <w:jc w:val="both"/>
      </w:pPr>
      <w:r>
        <w:t>Target MSMEs in low- or lower-middle-income APEC economies;</w:t>
      </w:r>
      <w:r>
        <w:rPr>
          <w:rStyle w:val="FootnoteReference"/>
        </w:rPr>
        <w:footnoteReference w:id="2"/>
      </w:r>
    </w:p>
    <w:p w14:paraId="121AC295" w14:textId="77777777" w:rsidR="00F6346F" w:rsidRPr="00FD7A11" w:rsidRDefault="00F6346F" w:rsidP="00F6346F">
      <w:pPr>
        <w:pStyle w:val="ListParagraph"/>
        <w:numPr>
          <w:ilvl w:val="0"/>
          <w:numId w:val="6"/>
        </w:numPr>
        <w:spacing w:after="160"/>
        <w:contextualSpacing/>
        <w:jc w:val="both"/>
        <w:rPr>
          <w:rFonts w:ascii="Times New Roman" w:hAnsi="Times New Roman"/>
        </w:rPr>
      </w:pPr>
      <w:r>
        <w:t>Support MSME-friendly facilitative measures to reduce red tape, cost and time associated with international trade.</w:t>
      </w:r>
    </w:p>
    <w:p w14:paraId="52DD1CE0" w14:textId="77777777" w:rsidR="00021DA5" w:rsidRDefault="00021DA5" w:rsidP="00FD7A11">
      <w:pPr>
        <w:jc w:val="both"/>
        <w:rPr>
          <w:b/>
          <w:u w:val="single"/>
        </w:rPr>
      </w:pPr>
    </w:p>
    <w:p w14:paraId="07A9AB26" w14:textId="77777777" w:rsidR="00021DA5" w:rsidRDefault="00021DA5" w:rsidP="00FD7A11">
      <w:pPr>
        <w:jc w:val="both"/>
        <w:rPr>
          <w:b/>
          <w:u w:val="single"/>
        </w:rPr>
      </w:pPr>
    </w:p>
    <w:p w14:paraId="13178841" w14:textId="77777777" w:rsidR="00021DA5" w:rsidRDefault="00021DA5" w:rsidP="00FD7A11">
      <w:pPr>
        <w:jc w:val="both"/>
        <w:rPr>
          <w:b/>
          <w:u w:val="single"/>
        </w:rPr>
      </w:pPr>
    </w:p>
    <w:p w14:paraId="036CDB1E" w14:textId="77777777" w:rsidR="009A3036" w:rsidRDefault="009A3036" w:rsidP="00FD7A11">
      <w:pPr>
        <w:jc w:val="both"/>
        <w:rPr>
          <w:b/>
          <w:u w:val="single"/>
        </w:rPr>
      </w:pPr>
      <w:r w:rsidRPr="00E1764D">
        <w:rPr>
          <w:b/>
          <w:u w:val="single"/>
        </w:rPr>
        <w:lastRenderedPageBreak/>
        <w:t xml:space="preserve">Guidelines for Accessing the </w:t>
      </w:r>
      <w:r>
        <w:rPr>
          <w:b/>
          <w:u w:val="single"/>
        </w:rPr>
        <w:t>M</w:t>
      </w:r>
      <w:r w:rsidRPr="00E1764D">
        <w:rPr>
          <w:b/>
          <w:u w:val="single"/>
        </w:rPr>
        <w:t>SME Sub-Fund</w:t>
      </w:r>
    </w:p>
    <w:p w14:paraId="54F6378F" w14:textId="77777777" w:rsidR="009A3036" w:rsidRPr="00E1764D" w:rsidRDefault="009A3036" w:rsidP="00FD7A11">
      <w:pPr>
        <w:jc w:val="both"/>
        <w:rPr>
          <w:b/>
          <w:u w:val="single"/>
        </w:rPr>
      </w:pPr>
    </w:p>
    <w:p w14:paraId="021ED336" w14:textId="16D75DCE" w:rsidR="009A3036" w:rsidRDefault="009A3036" w:rsidP="00FD7A11">
      <w:pPr>
        <w:jc w:val="both"/>
      </w:pPr>
      <w:r>
        <w:t xml:space="preserve">Any interested economy from any APEC group may submit </w:t>
      </w:r>
      <w:r w:rsidR="00030553">
        <w:t>C</w:t>
      </w:r>
      <w:r>
        <w:t xml:space="preserve">oncept </w:t>
      </w:r>
      <w:r w:rsidR="00030553">
        <w:t>N</w:t>
      </w:r>
      <w:r>
        <w:t xml:space="preserve">otes which fall within the scope of the MSME Sub-Fund and the ambit of the APEC Support Fund. Concept Notes will need to be endorsed by the submitting group as part of the normal APEC project session processes before their eligibility for the Sub-Fund can be considered. </w:t>
      </w:r>
    </w:p>
    <w:p w14:paraId="255F9999" w14:textId="77777777" w:rsidR="009A3036" w:rsidRPr="00F6346F" w:rsidRDefault="009A3036" w:rsidP="00FD7A11">
      <w:pPr>
        <w:jc w:val="both"/>
        <w:rPr>
          <w:sz w:val="16"/>
          <w:szCs w:val="16"/>
        </w:rPr>
      </w:pPr>
    </w:p>
    <w:p w14:paraId="739972C4" w14:textId="43319F8C" w:rsidR="009A3036" w:rsidRDefault="009A3036" w:rsidP="00FD7A11">
      <w:pPr>
        <w:jc w:val="both"/>
      </w:pPr>
      <w:r w:rsidRPr="00750105">
        <w:t xml:space="preserve">Submission of </w:t>
      </w:r>
      <w:r w:rsidR="00030553">
        <w:t>C</w:t>
      </w:r>
      <w:r w:rsidRPr="00750105">
        <w:t xml:space="preserve">oncept </w:t>
      </w:r>
      <w:r w:rsidR="00030553">
        <w:t>N</w:t>
      </w:r>
      <w:r w:rsidRPr="00750105">
        <w:t xml:space="preserve">otes and full </w:t>
      </w:r>
      <w:r>
        <w:t xml:space="preserve">project </w:t>
      </w:r>
      <w:r w:rsidRPr="00750105">
        <w:t xml:space="preserve">proposals are expected to follow the timelines of the APEC </w:t>
      </w:r>
      <w:r w:rsidRPr="00AB1042">
        <w:t>project approval sessions</w:t>
      </w:r>
      <w:r>
        <w:t>, which take place on a bi-annual basis</w:t>
      </w:r>
      <w:r w:rsidRPr="00750105">
        <w:t xml:space="preserve">. </w:t>
      </w:r>
      <w:r>
        <w:t>Please r</w:t>
      </w:r>
      <w:r w:rsidRPr="00750105">
        <w:t xml:space="preserve">efer to </w:t>
      </w:r>
      <w:hyperlink r:id="rId11" w:history="1">
        <w:r w:rsidRPr="00750105">
          <w:rPr>
            <w:rStyle w:val="Hyperlink"/>
          </w:rPr>
          <w:t>http://www.apec.org/Projects/Applying-for-Funds.aspx</w:t>
        </w:r>
      </w:hyperlink>
      <w:r>
        <w:t xml:space="preserve">.  </w:t>
      </w:r>
    </w:p>
    <w:p w14:paraId="5F943D40" w14:textId="77777777" w:rsidR="009A3036" w:rsidRPr="00F6346F" w:rsidRDefault="009A3036" w:rsidP="00FD7A11">
      <w:pPr>
        <w:jc w:val="both"/>
        <w:rPr>
          <w:sz w:val="16"/>
          <w:szCs w:val="16"/>
        </w:rPr>
      </w:pPr>
    </w:p>
    <w:p w14:paraId="60D4B33A" w14:textId="114B1298" w:rsidR="009A3036" w:rsidRDefault="009A3036" w:rsidP="00FD7A11">
      <w:pPr>
        <w:jc w:val="both"/>
      </w:pPr>
      <w:r>
        <w:t>The step-by-step p</w:t>
      </w:r>
      <w:r w:rsidRPr="0049782C">
        <w:t xml:space="preserve">rocess for </w:t>
      </w:r>
      <w:r>
        <w:t>a</w:t>
      </w:r>
      <w:r w:rsidRPr="0049782C">
        <w:t>pplying for the MSME Sub</w:t>
      </w:r>
      <w:r>
        <w:t>-</w:t>
      </w:r>
      <w:r w:rsidRPr="0049782C">
        <w:t>Fund</w:t>
      </w:r>
      <w:r>
        <w:t xml:space="preserve"> is as follow</w:t>
      </w:r>
      <w:r w:rsidR="009701EA">
        <w:t>s</w:t>
      </w:r>
      <w:r>
        <w:t>:</w:t>
      </w:r>
    </w:p>
    <w:p w14:paraId="54FEA2B4" w14:textId="77777777" w:rsidR="009A3036" w:rsidRPr="00F6346F" w:rsidRDefault="009A3036" w:rsidP="00FD7A11">
      <w:pPr>
        <w:jc w:val="both"/>
        <w:rPr>
          <w:sz w:val="16"/>
          <w:szCs w:val="16"/>
        </w:rPr>
      </w:pPr>
    </w:p>
    <w:p w14:paraId="5AECA9BC" w14:textId="77777777" w:rsidR="009A3036" w:rsidRDefault="009A3036" w:rsidP="00FD7A11">
      <w:pPr>
        <w:jc w:val="both"/>
        <w:rPr>
          <w:b/>
        </w:rPr>
      </w:pPr>
      <w:r w:rsidRPr="00D050B5">
        <w:rPr>
          <w:b/>
        </w:rPr>
        <w:t>Stage 1 – Development and Submission of Concept Note</w:t>
      </w:r>
    </w:p>
    <w:p w14:paraId="47B4C728" w14:textId="77777777" w:rsidR="009A3036" w:rsidRPr="00D050B5" w:rsidRDefault="009A3036" w:rsidP="00FD7A11">
      <w:pPr>
        <w:jc w:val="both"/>
        <w:rPr>
          <w:b/>
          <w:color w:val="0563C1" w:themeColor="hyperlink"/>
          <w:u w:val="single"/>
        </w:rPr>
      </w:pPr>
    </w:p>
    <w:p w14:paraId="44388031" w14:textId="03D87AE8" w:rsidR="009A3036" w:rsidRDefault="009A3036" w:rsidP="00F6346F">
      <w:pPr>
        <w:pStyle w:val="ListParagraph"/>
        <w:numPr>
          <w:ilvl w:val="0"/>
          <w:numId w:val="7"/>
        </w:numPr>
        <w:spacing w:after="160"/>
        <w:contextualSpacing/>
        <w:jc w:val="both"/>
      </w:pPr>
      <w:r>
        <w:t xml:space="preserve">Submit your </w:t>
      </w:r>
      <w:r w:rsidR="00030553">
        <w:t>C</w:t>
      </w:r>
      <w:r>
        <w:t xml:space="preserve">oncept </w:t>
      </w:r>
      <w:r w:rsidR="00030553">
        <w:t>N</w:t>
      </w:r>
      <w:r>
        <w:t xml:space="preserve">ote to the Program Director for your group by the </w:t>
      </w:r>
      <w:r w:rsidRPr="00AB1042">
        <w:t>Internal Submission Deadline</w:t>
      </w:r>
      <w:r>
        <w:t xml:space="preserve"> that is advertised on the “</w:t>
      </w:r>
      <w:r w:rsidRPr="00F325E9">
        <w:t>Applying for Funds</w:t>
      </w:r>
      <w:r>
        <w:t xml:space="preserve">” page of the APEC website. Your </w:t>
      </w:r>
      <w:r w:rsidR="00D805CA">
        <w:t>C</w:t>
      </w:r>
      <w:r>
        <w:t xml:space="preserve">oncept </w:t>
      </w:r>
      <w:r w:rsidR="00D805CA">
        <w:t>N</w:t>
      </w:r>
      <w:r>
        <w:t xml:space="preserve">ote should indicate that you are applying for the MSME Sub-Fund at the relevant place in the template. Your </w:t>
      </w:r>
      <w:r w:rsidR="00D805CA">
        <w:t>C</w:t>
      </w:r>
      <w:r>
        <w:t xml:space="preserve">oncept </w:t>
      </w:r>
      <w:r w:rsidR="00D805CA">
        <w:t>N</w:t>
      </w:r>
      <w:r>
        <w:t xml:space="preserve">ote must address the eligibility criteria for the Sub-Fund, listed </w:t>
      </w:r>
      <w:r w:rsidR="00E46CB6">
        <w:t>above in</w:t>
      </w:r>
      <w:r>
        <w:t xml:space="preserve"> this document. Your Program Director will help to facilitate </w:t>
      </w:r>
      <w:proofErr w:type="gramStart"/>
      <w:r>
        <w:t>endorsement  of</w:t>
      </w:r>
      <w:proofErr w:type="gramEnd"/>
      <w:r>
        <w:t xml:space="preserve"> your </w:t>
      </w:r>
      <w:r w:rsidR="00D805CA">
        <w:t>C</w:t>
      </w:r>
      <w:r>
        <w:t xml:space="preserve">oncept </w:t>
      </w:r>
      <w:r w:rsidR="00D805CA">
        <w:t>N</w:t>
      </w:r>
      <w:r>
        <w:t xml:space="preserve">ote by your group, and ensure that the </w:t>
      </w:r>
      <w:r w:rsidR="00D805CA">
        <w:t>C</w:t>
      </w:r>
      <w:r>
        <w:t xml:space="preserve">oncept </w:t>
      </w:r>
      <w:r w:rsidR="00D805CA">
        <w:t>N</w:t>
      </w:r>
      <w:r>
        <w:t xml:space="preserve">ote meets APEC requirements.  </w:t>
      </w:r>
    </w:p>
    <w:p w14:paraId="22AB06BE" w14:textId="77777777" w:rsidR="00021DA5" w:rsidRDefault="00021DA5" w:rsidP="009C3124">
      <w:pPr>
        <w:pStyle w:val="ListParagraph"/>
        <w:spacing w:after="160"/>
        <w:ind w:left="360"/>
        <w:contextualSpacing/>
        <w:jc w:val="both"/>
      </w:pPr>
    </w:p>
    <w:p w14:paraId="7F7E38BB" w14:textId="162E5A21" w:rsidR="00021DA5" w:rsidRDefault="00021DA5" w:rsidP="00F6346F">
      <w:pPr>
        <w:pStyle w:val="ListParagraph"/>
        <w:numPr>
          <w:ilvl w:val="0"/>
          <w:numId w:val="7"/>
        </w:numPr>
        <w:spacing w:after="160"/>
        <w:contextualSpacing/>
        <w:jc w:val="both"/>
      </w:pPr>
      <w:r>
        <w:t xml:space="preserve">If your Concept Note touches on issues related to </w:t>
      </w:r>
      <w:r w:rsidRPr="0011789C">
        <w:t xml:space="preserve">women-led MSMEs </w:t>
      </w:r>
      <w:r>
        <w:t xml:space="preserve">or </w:t>
      </w:r>
      <w:r w:rsidRPr="0011789C">
        <w:t>women’s economic empowerment</w:t>
      </w:r>
      <w:r>
        <w:t xml:space="preserve"> more generally, you should consult</w:t>
      </w:r>
      <w:r w:rsidRPr="0011789C">
        <w:t xml:space="preserve"> </w:t>
      </w:r>
      <w:r>
        <w:t xml:space="preserve">with </w:t>
      </w:r>
      <w:r w:rsidRPr="0011789C">
        <w:t>the Policy Partnership on Women and the Economy (PPWE)</w:t>
      </w:r>
      <w:r>
        <w:t xml:space="preserve">, which coordinates </w:t>
      </w:r>
      <w:r w:rsidRPr="0011789C">
        <w:t>gender activities a</w:t>
      </w:r>
      <w:r>
        <w:t>cross other APEC working groups. PPWE can advise on how to ensure that the unique challenges faced by women-led MSMEs are adequately addressed in Concept Notes.</w:t>
      </w:r>
    </w:p>
    <w:p w14:paraId="469AAB0C" w14:textId="77777777" w:rsidR="009A3036" w:rsidRDefault="009A3036" w:rsidP="00FD7A11">
      <w:pPr>
        <w:pStyle w:val="ListParagraph"/>
        <w:ind w:right="-540"/>
        <w:jc w:val="both"/>
        <w:rPr>
          <w:sz w:val="12"/>
          <w:szCs w:val="12"/>
        </w:rPr>
      </w:pPr>
    </w:p>
    <w:p w14:paraId="265BAC59" w14:textId="745140D0" w:rsidR="001C36B7" w:rsidRPr="00D050B5" w:rsidRDefault="001C36B7" w:rsidP="001C36B7">
      <w:pPr>
        <w:spacing w:after="160" w:line="259" w:lineRule="auto"/>
        <w:ind w:right="4"/>
        <w:jc w:val="both"/>
        <w:rPr>
          <w:b/>
        </w:rPr>
      </w:pPr>
      <w:r w:rsidRPr="00D050B5">
        <w:rPr>
          <w:b/>
        </w:rPr>
        <w:t>Stage 2 – Ass</w:t>
      </w:r>
      <w:r>
        <w:rPr>
          <w:b/>
        </w:rPr>
        <w:t xml:space="preserve">essment of Concept Note Eligibility and Concept Note Scoring </w:t>
      </w:r>
    </w:p>
    <w:p w14:paraId="64D01BFC" w14:textId="77777777" w:rsidR="009A3036" w:rsidRPr="00DF1EF7" w:rsidRDefault="009A3036" w:rsidP="00FD7A11">
      <w:pPr>
        <w:pStyle w:val="ListParagraph"/>
        <w:ind w:right="-540"/>
        <w:jc w:val="both"/>
        <w:rPr>
          <w:sz w:val="12"/>
          <w:szCs w:val="12"/>
        </w:rPr>
      </w:pPr>
    </w:p>
    <w:p w14:paraId="36A0BDA2" w14:textId="129F86E3" w:rsidR="009A3036" w:rsidRDefault="00021DA5" w:rsidP="00F6346F">
      <w:pPr>
        <w:pStyle w:val="ListParagraph"/>
        <w:numPr>
          <w:ilvl w:val="0"/>
          <w:numId w:val="7"/>
        </w:numPr>
        <w:spacing w:after="160"/>
        <w:contextualSpacing/>
        <w:jc w:val="both"/>
      </w:pPr>
      <w:r>
        <w:t xml:space="preserve">Once your Concept Note has been </w:t>
      </w:r>
      <w:r w:rsidR="009A3036">
        <w:t>endorse</w:t>
      </w:r>
      <w:r>
        <w:t xml:space="preserve">d, and you have secured a minimum of two co-sponsors (or more, depending on the co-sponsorship requirements of your group), your Concept Note must be submitted to the Secretariat by the Final Submission Deadline, as advertised on the APEC website. Your Concept Note will then be </w:t>
      </w:r>
      <w:r w:rsidR="009A3036">
        <w:t xml:space="preserve">provided to </w:t>
      </w:r>
      <w:r w:rsidR="009A3036" w:rsidRPr="00AB1042">
        <w:t>APEC's Small and Medium Enterprises Working Group (</w:t>
      </w:r>
      <w:r w:rsidR="009A3036">
        <w:t xml:space="preserve">SMEWG), which will consider your </w:t>
      </w:r>
      <w:r w:rsidR="001C36B7">
        <w:t>C</w:t>
      </w:r>
      <w:r w:rsidR="009A3036">
        <w:t xml:space="preserve">oncept </w:t>
      </w:r>
      <w:r w:rsidR="001C36B7">
        <w:t>N</w:t>
      </w:r>
      <w:r w:rsidR="009A3036">
        <w:t xml:space="preserve">ote against the eligibility criteria for the Sub-Fund and decide whether it is eligible to access it. </w:t>
      </w:r>
    </w:p>
    <w:p w14:paraId="4F97B443" w14:textId="77777777" w:rsidR="009A3036" w:rsidRPr="00DF1EF7" w:rsidRDefault="009A3036" w:rsidP="00FD7A11">
      <w:pPr>
        <w:pStyle w:val="ListParagraph"/>
        <w:ind w:right="4"/>
        <w:jc w:val="both"/>
        <w:rPr>
          <w:sz w:val="12"/>
          <w:szCs w:val="12"/>
        </w:rPr>
      </w:pPr>
    </w:p>
    <w:p w14:paraId="09EB41F7" w14:textId="55855CFE" w:rsidR="009A3036" w:rsidRDefault="009A3036" w:rsidP="00F6346F">
      <w:pPr>
        <w:pStyle w:val="ListParagraph"/>
        <w:numPr>
          <w:ilvl w:val="0"/>
          <w:numId w:val="7"/>
        </w:numPr>
        <w:spacing w:after="160"/>
        <w:contextualSpacing/>
        <w:jc w:val="both"/>
      </w:pPr>
      <w:r>
        <w:t xml:space="preserve">Concept </w:t>
      </w:r>
      <w:r w:rsidR="001C36B7">
        <w:t>N</w:t>
      </w:r>
      <w:r>
        <w:t xml:space="preserve">otes will be considered eligible for the Sub-Fund unless there is a dissenting view raised by one or more SMEWG members. If there is a dissenting view, the </w:t>
      </w:r>
      <w:r w:rsidR="001C36B7">
        <w:t>C</w:t>
      </w:r>
      <w:r>
        <w:t xml:space="preserve">oncept </w:t>
      </w:r>
      <w:r w:rsidR="001C36B7">
        <w:t>N</w:t>
      </w:r>
      <w:r>
        <w:t>ote will be considered ineligible for the Sub-Fund.</w:t>
      </w:r>
      <w:r w:rsidR="001C36B7">
        <w:t xml:space="preserve"> Following the rules that apply to all APEC Concept Notes, if a Concept Note is found to be ineligible, the Concept Note may not proceed any further in the APEC Project Session in question</w:t>
      </w:r>
      <w:r w:rsidR="004E50B9">
        <w:t>, either under the MSME Sub-F</w:t>
      </w:r>
      <w:r w:rsidR="001C36B7">
        <w:t>und, or any other APEC project fund (</w:t>
      </w:r>
      <w:r w:rsidR="00021DA5">
        <w:t>including</w:t>
      </w:r>
      <w:r w:rsidR="001C36B7">
        <w:t xml:space="preserve"> the ASF General fund).</w:t>
      </w:r>
      <w:r>
        <w:t xml:space="preserve"> </w:t>
      </w:r>
    </w:p>
    <w:p w14:paraId="214E491E" w14:textId="77777777" w:rsidR="009A3036" w:rsidRPr="00531C28" w:rsidRDefault="009A3036" w:rsidP="00F6346F">
      <w:pPr>
        <w:pStyle w:val="ListParagraph"/>
        <w:spacing w:after="160"/>
        <w:ind w:left="360" w:hanging="360"/>
        <w:contextualSpacing/>
        <w:jc w:val="both"/>
        <w:rPr>
          <w:sz w:val="12"/>
          <w:szCs w:val="12"/>
        </w:rPr>
      </w:pPr>
    </w:p>
    <w:p w14:paraId="2952B66B" w14:textId="5D8B9010" w:rsidR="00021DA5" w:rsidRDefault="009A3036" w:rsidP="004E50B9">
      <w:pPr>
        <w:pStyle w:val="ListParagraph"/>
        <w:numPr>
          <w:ilvl w:val="0"/>
          <w:numId w:val="7"/>
        </w:numPr>
        <w:spacing w:after="160"/>
        <w:contextualSpacing/>
        <w:jc w:val="both"/>
      </w:pPr>
      <w:r>
        <w:t>SMEWG members who have a dissenting view are encouraged to provide their reasoning.</w:t>
      </w:r>
      <w:r w:rsidR="004E50B9">
        <w:t xml:space="preserve"> Any responses from members that are provided late will not be included in the process.</w:t>
      </w:r>
      <w:r>
        <w:t xml:space="preserve"> Any reasoning that is provided on why your </w:t>
      </w:r>
      <w:r w:rsidR="001C36B7">
        <w:t>C</w:t>
      </w:r>
      <w:r>
        <w:t xml:space="preserve">oncept </w:t>
      </w:r>
      <w:r w:rsidR="001C36B7">
        <w:t>N</w:t>
      </w:r>
      <w:r>
        <w:t xml:space="preserve">ote is ineligible will be shared with the proposing economy. </w:t>
      </w:r>
      <w:r w:rsidR="001C36B7">
        <w:t>Members will not be identified individually with the decisions they make on eligibility.</w:t>
      </w:r>
      <w:r w:rsidR="00021DA5">
        <w:t xml:space="preserve"> </w:t>
      </w:r>
    </w:p>
    <w:p w14:paraId="1C688EEA" w14:textId="77777777" w:rsidR="004E50B9" w:rsidRDefault="004E50B9" w:rsidP="009C3124">
      <w:pPr>
        <w:pStyle w:val="ListParagraph"/>
        <w:spacing w:after="160"/>
        <w:ind w:left="360"/>
        <w:contextualSpacing/>
        <w:jc w:val="both"/>
      </w:pPr>
    </w:p>
    <w:p w14:paraId="2A0EEAA1" w14:textId="01B3A6B1" w:rsidR="009A3036" w:rsidRDefault="009A3036" w:rsidP="00F6346F">
      <w:pPr>
        <w:pStyle w:val="ListParagraph"/>
        <w:numPr>
          <w:ilvl w:val="0"/>
          <w:numId w:val="7"/>
        </w:numPr>
        <w:spacing w:after="160"/>
        <w:contextualSpacing/>
        <w:jc w:val="both"/>
      </w:pPr>
      <w:r>
        <w:t xml:space="preserve">Concept </w:t>
      </w:r>
      <w:r w:rsidR="001C36B7">
        <w:t>N</w:t>
      </w:r>
      <w:r>
        <w:t xml:space="preserve">otes that have been considered eligible for the MSME Sub-Fund will then be </w:t>
      </w:r>
      <w:r w:rsidR="000E78EF">
        <w:t xml:space="preserve">scored using the APEC Scoring Template. Eligibility does not guarantee funding. The Secretariat will calculate which Concept Notes can be funded based on order of scores (highest to lowest), and in consideration of the total amount that is available under the MSME Sub-fund, for the APEC Project Session in question.  </w:t>
      </w:r>
      <w:r>
        <w:t xml:space="preserve"> </w:t>
      </w:r>
    </w:p>
    <w:p w14:paraId="194BDE5C" w14:textId="77777777" w:rsidR="009A3036" w:rsidRPr="00C34BFA" w:rsidRDefault="009A3036" w:rsidP="00F6346F">
      <w:pPr>
        <w:pStyle w:val="ListParagraph"/>
        <w:spacing w:after="160"/>
        <w:ind w:left="360" w:hanging="360"/>
        <w:contextualSpacing/>
        <w:jc w:val="both"/>
        <w:rPr>
          <w:sz w:val="12"/>
        </w:rPr>
      </w:pPr>
    </w:p>
    <w:p w14:paraId="646E3A8F" w14:textId="77777777" w:rsidR="009A3036" w:rsidRPr="00C34BFA" w:rsidRDefault="009A3036" w:rsidP="00F6346F">
      <w:pPr>
        <w:pStyle w:val="ListParagraph"/>
        <w:spacing w:after="160"/>
        <w:ind w:left="360" w:hanging="360"/>
        <w:contextualSpacing/>
        <w:jc w:val="both"/>
        <w:rPr>
          <w:sz w:val="12"/>
        </w:rPr>
      </w:pPr>
    </w:p>
    <w:p w14:paraId="73C97822" w14:textId="7DA860A7" w:rsidR="009A3036" w:rsidRDefault="000E78EF" w:rsidP="00F6346F">
      <w:pPr>
        <w:pStyle w:val="ListParagraph"/>
        <w:numPr>
          <w:ilvl w:val="0"/>
          <w:numId w:val="7"/>
        </w:numPr>
        <w:spacing w:after="160"/>
        <w:contextualSpacing/>
        <w:jc w:val="both"/>
      </w:pPr>
      <w:r>
        <w:lastRenderedPageBreak/>
        <w:t xml:space="preserve">The Secretariat will then make a funding recommendation to the </w:t>
      </w:r>
      <w:r w:rsidR="009A3036" w:rsidRPr="00AB1042">
        <w:t>APEC’s Budget and Management Committee (</w:t>
      </w:r>
      <w:r w:rsidR="009A3036" w:rsidRPr="00622FDA">
        <w:t>BMC</w:t>
      </w:r>
      <w:r w:rsidR="009A3036">
        <w:t>)</w:t>
      </w:r>
      <w:r>
        <w:t xml:space="preserve">. </w:t>
      </w:r>
      <w:r w:rsidR="00CE7507">
        <w:t xml:space="preserve">While </w:t>
      </w:r>
      <w:r>
        <w:t>BMC</w:t>
      </w:r>
      <w:r w:rsidR="00CE7507">
        <w:t xml:space="preserve"> may</w:t>
      </w:r>
      <w:r w:rsidR="009A3036" w:rsidRPr="00622FDA">
        <w:t xml:space="preserve"> provide in-principle funding approval </w:t>
      </w:r>
      <w:r w:rsidR="00CE7507">
        <w:t>for a C</w:t>
      </w:r>
      <w:r w:rsidR="009A3036" w:rsidRPr="00622FDA">
        <w:t xml:space="preserve">oncept </w:t>
      </w:r>
      <w:r w:rsidR="00CE7507">
        <w:t>N</w:t>
      </w:r>
      <w:r w:rsidR="009A3036" w:rsidRPr="00622FDA">
        <w:t>ote</w:t>
      </w:r>
      <w:r w:rsidR="00CE7507">
        <w:t>, f</w:t>
      </w:r>
      <w:r w:rsidR="009A3036" w:rsidRPr="00622FDA">
        <w:t xml:space="preserve">inal approval is subject to the full </w:t>
      </w:r>
      <w:r w:rsidR="00CE7507">
        <w:t>P</w:t>
      </w:r>
      <w:r w:rsidR="009A3036" w:rsidRPr="00622FDA">
        <w:t xml:space="preserve">roject </w:t>
      </w:r>
      <w:r w:rsidR="00CE7507">
        <w:t>P</w:t>
      </w:r>
      <w:r w:rsidR="009A3036" w:rsidRPr="00622FDA">
        <w:t xml:space="preserve">roposal receiving a “satisfactory” quality assessment </w:t>
      </w:r>
      <w:r w:rsidR="00CE7507">
        <w:t xml:space="preserve">from the Secretariat </w:t>
      </w:r>
      <w:r w:rsidR="009A3036" w:rsidRPr="00622FDA">
        <w:t xml:space="preserve">during the </w:t>
      </w:r>
      <w:r w:rsidR="009A3036" w:rsidRPr="00AB1042">
        <w:t>Project Proposal Stage</w:t>
      </w:r>
      <w:r w:rsidR="009A3036" w:rsidRPr="00622FDA">
        <w:t>.</w:t>
      </w:r>
    </w:p>
    <w:p w14:paraId="131297AE" w14:textId="77777777" w:rsidR="009A3036" w:rsidRDefault="009A3036" w:rsidP="00FD7A11">
      <w:pPr>
        <w:jc w:val="both"/>
        <w:rPr>
          <w:b/>
        </w:rPr>
      </w:pPr>
      <w:r w:rsidRPr="00D050B5">
        <w:rPr>
          <w:b/>
        </w:rPr>
        <w:t>Stage 3 – Full Project Development</w:t>
      </w:r>
    </w:p>
    <w:p w14:paraId="1ECE6E7C" w14:textId="77777777" w:rsidR="009A3036" w:rsidRPr="00F6346F" w:rsidRDefault="009A3036" w:rsidP="00FD7A11">
      <w:pPr>
        <w:jc w:val="both"/>
        <w:rPr>
          <w:b/>
          <w:sz w:val="16"/>
          <w:szCs w:val="16"/>
        </w:rPr>
      </w:pPr>
    </w:p>
    <w:p w14:paraId="4B51B445" w14:textId="22D29AA2" w:rsidR="009A3036" w:rsidRPr="00D050B5" w:rsidRDefault="009A3036" w:rsidP="00F6346F">
      <w:pPr>
        <w:pStyle w:val="ListParagraph"/>
        <w:numPr>
          <w:ilvl w:val="0"/>
          <w:numId w:val="7"/>
        </w:numPr>
        <w:spacing w:after="160"/>
        <w:contextualSpacing/>
        <w:jc w:val="both"/>
      </w:pPr>
      <w:r w:rsidRPr="00622FDA">
        <w:t xml:space="preserve">After </w:t>
      </w:r>
      <w:r w:rsidR="00CE7507">
        <w:t>C</w:t>
      </w:r>
      <w:r w:rsidRPr="00622FDA">
        <w:t xml:space="preserve">oncept </w:t>
      </w:r>
      <w:r w:rsidR="00CE7507">
        <w:t>N</w:t>
      </w:r>
      <w:r w:rsidRPr="00622FDA">
        <w:t>ote</w:t>
      </w:r>
      <w:r>
        <w:t>s receive</w:t>
      </w:r>
      <w:r w:rsidRPr="00622FDA">
        <w:t xml:space="preserve"> in-principle approval</w:t>
      </w:r>
      <w:r>
        <w:t xml:space="preserve">, full </w:t>
      </w:r>
      <w:r w:rsidR="00CE7507">
        <w:t>P</w:t>
      </w:r>
      <w:r w:rsidRPr="00D050B5">
        <w:t xml:space="preserve">roject </w:t>
      </w:r>
      <w:r w:rsidR="00CE7507">
        <w:t>P</w:t>
      </w:r>
      <w:r w:rsidRPr="00D050B5">
        <w:t xml:space="preserve">roposals are to be completed using the </w:t>
      </w:r>
      <w:r>
        <w:t xml:space="preserve">standard APEC </w:t>
      </w:r>
      <w:r w:rsidRPr="00D050B5">
        <w:t>template</w:t>
      </w:r>
      <w:r>
        <w:t>.</w:t>
      </w:r>
      <w:r w:rsidRPr="00D050B5">
        <w:t xml:space="preserve"> </w:t>
      </w:r>
      <w:r>
        <w:rPr>
          <w:rFonts w:eastAsia="Calibri"/>
        </w:rPr>
        <w:t>P</w:t>
      </w:r>
      <w:r w:rsidRPr="000B49D2">
        <w:rPr>
          <w:rFonts w:eastAsia="Calibri"/>
        </w:rPr>
        <w:t xml:space="preserve">roject </w:t>
      </w:r>
      <w:r w:rsidR="00CE7507">
        <w:rPr>
          <w:rFonts w:eastAsia="Calibri"/>
        </w:rPr>
        <w:t>P</w:t>
      </w:r>
      <w:r w:rsidRPr="000B49D2">
        <w:rPr>
          <w:rFonts w:eastAsia="Calibri"/>
        </w:rPr>
        <w:t>roposal</w:t>
      </w:r>
      <w:r>
        <w:rPr>
          <w:rFonts w:eastAsia="Calibri"/>
        </w:rPr>
        <w:t>s</w:t>
      </w:r>
      <w:r w:rsidRPr="000B49D2">
        <w:rPr>
          <w:rFonts w:eastAsia="Calibri"/>
        </w:rPr>
        <w:t xml:space="preserve"> s</w:t>
      </w:r>
      <w:r>
        <w:rPr>
          <w:rFonts w:eastAsia="Calibri"/>
        </w:rPr>
        <w:t xml:space="preserve">hould incorporate collaboration </w:t>
      </w:r>
      <w:r w:rsidRPr="000B49D2">
        <w:rPr>
          <w:rFonts w:eastAsia="Calibri"/>
        </w:rPr>
        <w:t xml:space="preserve">with </w:t>
      </w:r>
      <w:r>
        <w:rPr>
          <w:rFonts w:eastAsia="Calibri"/>
        </w:rPr>
        <w:t>the SMEWG</w:t>
      </w:r>
      <w:r w:rsidRPr="000B49D2">
        <w:rPr>
          <w:rFonts w:eastAsia="Calibri"/>
        </w:rPr>
        <w:t xml:space="preserve"> during project implementation and sharing of project outcomes, as appropriate.</w:t>
      </w:r>
    </w:p>
    <w:p w14:paraId="187D8E8A" w14:textId="77777777" w:rsidR="009A3036" w:rsidRPr="00D050B5" w:rsidRDefault="009A3036" w:rsidP="00F6346F">
      <w:pPr>
        <w:pStyle w:val="ListParagraph"/>
        <w:spacing w:after="160"/>
        <w:ind w:left="360" w:hanging="360"/>
        <w:contextualSpacing/>
        <w:jc w:val="both"/>
        <w:rPr>
          <w:sz w:val="12"/>
        </w:rPr>
      </w:pPr>
    </w:p>
    <w:p w14:paraId="23D204F3" w14:textId="31BC0CA2" w:rsidR="009A3036" w:rsidRPr="00D050B5" w:rsidRDefault="009A3036" w:rsidP="00F6346F">
      <w:pPr>
        <w:pStyle w:val="ListParagraph"/>
        <w:numPr>
          <w:ilvl w:val="0"/>
          <w:numId w:val="7"/>
        </w:numPr>
        <w:spacing w:after="160"/>
        <w:contextualSpacing/>
        <w:jc w:val="both"/>
      </w:pPr>
      <w:r>
        <w:rPr>
          <w:rFonts w:eastAsia="Calibri"/>
        </w:rPr>
        <w:t xml:space="preserve">Before proposals are endorsed </w:t>
      </w:r>
      <w:r w:rsidRPr="00D050B5">
        <w:rPr>
          <w:rFonts w:eastAsia="Calibri"/>
        </w:rPr>
        <w:t xml:space="preserve">by the originating forum, draft </w:t>
      </w:r>
      <w:r w:rsidR="00CE7507">
        <w:rPr>
          <w:rFonts w:eastAsia="Calibri"/>
        </w:rPr>
        <w:t>P</w:t>
      </w:r>
      <w:r w:rsidRPr="00D050B5">
        <w:rPr>
          <w:rFonts w:eastAsia="Calibri"/>
        </w:rPr>
        <w:t xml:space="preserve">roject </w:t>
      </w:r>
      <w:r w:rsidR="00CE7507">
        <w:rPr>
          <w:rFonts w:eastAsia="Calibri"/>
        </w:rPr>
        <w:t>P</w:t>
      </w:r>
      <w:r w:rsidRPr="00D050B5">
        <w:rPr>
          <w:rFonts w:eastAsia="Calibri"/>
        </w:rPr>
        <w:t>roposal</w:t>
      </w:r>
      <w:r>
        <w:rPr>
          <w:rFonts w:eastAsia="Calibri"/>
        </w:rPr>
        <w:t>s</w:t>
      </w:r>
      <w:r w:rsidRPr="00D050B5">
        <w:rPr>
          <w:rFonts w:eastAsia="Calibri"/>
        </w:rPr>
        <w:t xml:space="preserve"> </w:t>
      </w:r>
      <w:r>
        <w:rPr>
          <w:rFonts w:eastAsia="Calibri"/>
        </w:rPr>
        <w:t>should</w:t>
      </w:r>
      <w:r w:rsidRPr="00D050B5">
        <w:rPr>
          <w:rFonts w:eastAsia="Calibri"/>
        </w:rPr>
        <w:t xml:space="preserve"> be submitted to </w:t>
      </w:r>
      <w:r>
        <w:rPr>
          <w:rFonts w:eastAsia="Calibri"/>
        </w:rPr>
        <w:t xml:space="preserve">the </w:t>
      </w:r>
      <w:r w:rsidRPr="00D050B5">
        <w:rPr>
          <w:rFonts w:eastAsia="Calibri"/>
        </w:rPr>
        <w:t xml:space="preserve">SMEWG through the SMEWG Program Director </w:t>
      </w:r>
      <w:r>
        <w:rPr>
          <w:rFonts w:eastAsia="Calibri"/>
        </w:rPr>
        <w:t>for</w:t>
      </w:r>
      <w:r w:rsidRPr="00D050B5">
        <w:rPr>
          <w:rFonts w:eastAsia="Calibri"/>
        </w:rPr>
        <w:t xml:space="preserve"> comments</w:t>
      </w:r>
      <w:r>
        <w:rPr>
          <w:rFonts w:eastAsia="Calibri"/>
        </w:rPr>
        <w:t>/feedback to ensure consistency with</w:t>
      </w:r>
      <w:r w:rsidRPr="00D050B5">
        <w:rPr>
          <w:rFonts w:eastAsia="Calibri"/>
        </w:rPr>
        <w:t xml:space="preserve"> </w:t>
      </w:r>
      <w:r>
        <w:rPr>
          <w:rFonts w:eastAsia="Calibri"/>
        </w:rPr>
        <w:t>MSME Sub-Fund eligibility criteria.</w:t>
      </w:r>
    </w:p>
    <w:p w14:paraId="4B149653" w14:textId="77777777" w:rsidR="009A3036" w:rsidRDefault="009A3036" w:rsidP="00FD7A11">
      <w:pPr>
        <w:jc w:val="both"/>
      </w:pPr>
    </w:p>
    <w:p w14:paraId="4FBF0505" w14:textId="77777777" w:rsidR="00F6346F" w:rsidRDefault="00F6346F" w:rsidP="00FD7A11">
      <w:pPr>
        <w:jc w:val="both"/>
      </w:pPr>
    </w:p>
    <w:p w14:paraId="6E307BD0" w14:textId="77777777" w:rsidR="00F6346F" w:rsidRDefault="00F6346F" w:rsidP="00FD7A11">
      <w:pPr>
        <w:jc w:val="both"/>
      </w:pPr>
    </w:p>
    <w:p w14:paraId="550AC316" w14:textId="77777777" w:rsidR="00F6346F" w:rsidRPr="00D050B5" w:rsidRDefault="00F6346F" w:rsidP="00FD7A11">
      <w:pPr>
        <w:jc w:val="both"/>
      </w:pPr>
    </w:p>
    <w:sectPr w:rsidR="00F6346F" w:rsidRPr="00D050B5" w:rsidSect="00F6346F">
      <w:pgSz w:w="12240" w:h="15840"/>
      <w:pgMar w:top="810" w:right="1440" w:bottom="810" w:left="1440" w:header="568"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8B3C3" w14:textId="77777777" w:rsidR="00146588" w:rsidRDefault="00146588" w:rsidP="00E32FF5">
      <w:r>
        <w:separator/>
      </w:r>
    </w:p>
  </w:endnote>
  <w:endnote w:type="continuationSeparator" w:id="0">
    <w:p w14:paraId="4B692776" w14:textId="77777777" w:rsidR="00146588" w:rsidRDefault="00146588" w:rsidP="00E32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BCBDD" w14:textId="77777777" w:rsidR="00146588" w:rsidRDefault="00146588" w:rsidP="00E32FF5">
      <w:r>
        <w:separator/>
      </w:r>
    </w:p>
  </w:footnote>
  <w:footnote w:type="continuationSeparator" w:id="0">
    <w:p w14:paraId="7B555573" w14:textId="77777777" w:rsidR="00146588" w:rsidRDefault="00146588" w:rsidP="00E32FF5">
      <w:r>
        <w:continuationSeparator/>
      </w:r>
    </w:p>
  </w:footnote>
  <w:footnote w:id="1">
    <w:p w14:paraId="27A78D5F" w14:textId="77777777" w:rsidR="00F6346F" w:rsidRDefault="00F6346F" w:rsidP="00F6346F">
      <w:pPr>
        <w:pStyle w:val="FootnoteText"/>
      </w:pPr>
      <w:r>
        <w:rPr>
          <w:rStyle w:val="FootnoteReference"/>
        </w:rPr>
        <w:footnoteRef/>
      </w:r>
      <w:r>
        <w:t xml:space="preserve"> </w:t>
      </w:r>
      <w:r w:rsidRPr="00ED1914">
        <w:t xml:space="preserve">Projects for funding under the </w:t>
      </w:r>
      <w:r>
        <w:t>APEC Support Fund (</w:t>
      </w:r>
      <w:r w:rsidRPr="00ED1914">
        <w:t xml:space="preserve">including its sub-funds and in this case the </w:t>
      </w:r>
      <w:r>
        <w:t>MSME</w:t>
      </w:r>
      <w:r w:rsidRPr="00ED1914">
        <w:t xml:space="preserve"> Sub</w:t>
      </w:r>
      <w:r>
        <w:t>-</w:t>
      </w:r>
      <w:r w:rsidRPr="00ED1914">
        <w:t xml:space="preserve">Fund) </w:t>
      </w:r>
      <w:r>
        <w:t>are</w:t>
      </w:r>
      <w:r w:rsidRPr="00ED1914">
        <w:t>, in principle, open for participation by all APEC member</w:t>
      </w:r>
      <w:r>
        <w:t xml:space="preserve"> economies</w:t>
      </w:r>
      <w:r w:rsidRPr="00ED1914">
        <w:t>, but funding will be available only for capacity building projects that primarily benefit developing member econom</w:t>
      </w:r>
      <w:r>
        <w:t>ies</w:t>
      </w:r>
      <w:r w:rsidRPr="00ED1914">
        <w:t>.</w:t>
      </w:r>
      <w:r>
        <w:t xml:space="preserve"> </w:t>
      </w:r>
      <w:r w:rsidRPr="002B6F79">
        <w:t>This does not preclude other economies from applying for funding. If it furthers the interests of APEC, one or more non-APEC developing economies may be additional beneficiaries of an A</w:t>
      </w:r>
      <w:r>
        <w:t>PEC Support Fund</w:t>
      </w:r>
      <w:r w:rsidRPr="002B6F79">
        <w:t xml:space="preserve"> proposal. This will be determined on a case-by-case basis in accordance with normal procedures on non-member participation in APEC activities.</w:t>
      </w:r>
    </w:p>
  </w:footnote>
  <w:footnote w:id="2">
    <w:p w14:paraId="61E734AD" w14:textId="77777777" w:rsidR="00F6346F" w:rsidRDefault="00F6346F" w:rsidP="00F6346F">
      <w:pPr>
        <w:pStyle w:val="FootnoteText"/>
      </w:pPr>
      <w:r>
        <w:rPr>
          <w:rStyle w:val="FootnoteReference"/>
        </w:rPr>
        <w:footnoteRef/>
      </w:r>
      <w:r>
        <w:t xml:space="preserve"> Please refer to the World Bank’s latest </w:t>
      </w:r>
      <w:r w:rsidRPr="005E100D">
        <w:t>Income Classification</w:t>
      </w:r>
      <w:r>
        <w: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A1C2A"/>
    <w:multiLevelType w:val="hybridMultilevel"/>
    <w:tmpl w:val="00CAC6DE"/>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0FFC6596"/>
    <w:multiLevelType w:val="hybridMultilevel"/>
    <w:tmpl w:val="62D86820"/>
    <w:lvl w:ilvl="0" w:tplc="8276581A">
      <w:start w:val="1"/>
      <w:numFmt w:val="upperRoman"/>
      <w:lvlText w:val="%1."/>
      <w:lvlJc w:val="left"/>
      <w:pPr>
        <w:ind w:left="1080" w:hanging="72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70263DB"/>
    <w:multiLevelType w:val="hybridMultilevel"/>
    <w:tmpl w:val="3B721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DF0D53"/>
    <w:multiLevelType w:val="hybridMultilevel"/>
    <w:tmpl w:val="A566AA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34C94540"/>
    <w:multiLevelType w:val="hybridMultilevel"/>
    <w:tmpl w:val="B5C251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88D1AFA"/>
    <w:multiLevelType w:val="hybridMultilevel"/>
    <w:tmpl w:val="3CD40B68"/>
    <w:lvl w:ilvl="0" w:tplc="F77E5414">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527F1BE8"/>
    <w:multiLevelType w:val="hybridMultilevel"/>
    <w:tmpl w:val="64801B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674"/>
    <w:rsid w:val="00005B54"/>
    <w:rsid w:val="00021DA5"/>
    <w:rsid w:val="00030553"/>
    <w:rsid w:val="000550B0"/>
    <w:rsid w:val="000E0773"/>
    <w:rsid w:val="000E78EF"/>
    <w:rsid w:val="001173F7"/>
    <w:rsid w:val="00146588"/>
    <w:rsid w:val="00151336"/>
    <w:rsid w:val="0017093D"/>
    <w:rsid w:val="00191674"/>
    <w:rsid w:val="001C36B7"/>
    <w:rsid w:val="002253D2"/>
    <w:rsid w:val="002740C1"/>
    <w:rsid w:val="002C74D1"/>
    <w:rsid w:val="002F77D9"/>
    <w:rsid w:val="00335A3A"/>
    <w:rsid w:val="00390F05"/>
    <w:rsid w:val="004349F6"/>
    <w:rsid w:val="004E50B9"/>
    <w:rsid w:val="004F3A10"/>
    <w:rsid w:val="005364CE"/>
    <w:rsid w:val="00722D9B"/>
    <w:rsid w:val="0073437C"/>
    <w:rsid w:val="00787B87"/>
    <w:rsid w:val="00790203"/>
    <w:rsid w:val="007C7561"/>
    <w:rsid w:val="00836FFA"/>
    <w:rsid w:val="008C3D1D"/>
    <w:rsid w:val="00954C69"/>
    <w:rsid w:val="009575DF"/>
    <w:rsid w:val="009701EA"/>
    <w:rsid w:val="009A3036"/>
    <w:rsid w:val="009C3124"/>
    <w:rsid w:val="00AB74F7"/>
    <w:rsid w:val="00AF1389"/>
    <w:rsid w:val="00B14EDE"/>
    <w:rsid w:val="00B636CE"/>
    <w:rsid w:val="00CA58BC"/>
    <w:rsid w:val="00CB457D"/>
    <w:rsid w:val="00CC660D"/>
    <w:rsid w:val="00CE7507"/>
    <w:rsid w:val="00D03527"/>
    <w:rsid w:val="00D65884"/>
    <w:rsid w:val="00D805CA"/>
    <w:rsid w:val="00DC0230"/>
    <w:rsid w:val="00DC7917"/>
    <w:rsid w:val="00E32FF5"/>
    <w:rsid w:val="00E3418A"/>
    <w:rsid w:val="00E4411D"/>
    <w:rsid w:val="00E46CB6"/>
    <w:rsid w:val="00F33F40"/>
    <w:rsid w:val="00F5258D"/>
    <w:rsid w:val="00F6346F"/>
    <w:rsid w:val="00FD7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12C6A"/>
  <w15:docId w15:val="{F05BDD19-9BAE-46BB-801C-D88385BF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6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674"/>
    <w:rPr>
      <w:color w:val="0563C1"/>
      <w:u w:val="single"/>
    </w:rPr>
  </w:style>
  <w:style w:type="paragraph" w:styleId="ListParagraph">
    <w:name w:val="List Paragraph"/>
    <w:basedOn w:val="Normal"/>
    <w:uiPriority w:val="34"/>
    <w:qFormat/>
    <w:rsid w:val="00191674"/>
    <w:pPr>
      <w:ind w:left="720"/>
    </w:pPr>
  </w:style>
  <w:style w:type="character" w:styleId="CommentReference">
    <w:name w:val="annotation reference"/>
    <w:basedOn w:val="DefaultParagraphFont"/>
    <w:uiPriority w:val="99"/>
    <w:semiHidden/>
    <w:unhideWhenUsed/>
    <w:rsid w:val="00D03527"/>
    <w:rPr>
      <w:sz w:val="16"/>
      <w:szCs w:val="16"/>
    </w:rPr>
  </w:style>
  <w:style w:type="paragraph" w:styleId="CommentText">
    <w:name w:val="annotation text"/>
    <w:basedOn w:val="Normal"/>
    <w:link w:val="CommentTextChar"/>
    <w:uiPriority w:val="99"/>
    <w:semiHidden/>
    <w:unhideWhenUsed/>
    <w:rsid w:val="00D03527"/>
    <w:rPr>
      <w:sz w:val="20"/>
      <w:szCs w:val="20"/>
    </w:rPr>
  </w:style>
  <w:style w:type="character" w:customStyle="1" w:styleId="CommentTextChar">
    <w:name w:val="Comment Text Char"/>
    <w:basedOn w:val="DefaultParagraphFont"/>
    <w:link w:val="CommentText"/>
    <w:uiPriority w:val="99"/>
    <w:semiHidden/>
    <w:rsid w:val="00D0352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03527"/>
    <w:rPr>
      <w:b/>
      <w:bCs/>
    </w:rPr>
  </w:style>
  <w:style w:type="character" w:customStyle="1" w:styleId="CommentSubjectChar">
    <w:name w:val="Comment Subject Char"/>
    <w:basedOn w:val="CommentTextChar"/>
    <w:link w:val="CommentSubject"/>
    <w:uiPriority w:val="99"/>
    <w:semiHidden/>
    <w:rsid w:val="00D03527"/>
    <w:rPr>
      <w:rFonts w:ascii="Calibri" w:hAnsi="Calibri" w:cs="Times New Roman"/>
      <w:b/>
      <w:bCs/>
      <w:sz w:val="20"/>
      <w:szCs w:val="20"/>
    </w:rPr>
  </w:style>
  <w:style w:type="paragraph" w:styleId="BalloonText">
    <w:name w:val="Balloon Text"/>
    <w:basedOn w:val="Normal"/>
    <w:link w:val="BalloonTextChar"/>
    <w:uiPriority w:val="99"/>
    <w:semiHidden/>
    <w:unhideWhenUsed/>
    <w:rsid w:val="00D035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527"/>
    <w:rPr>
      <w:rFonts w:ascii="Segoe UI" w:hAnsi="Segoe UI" w:cs="Segoe UI"/>
      <w:sz w:val="18"/>
      <w:szCs w:val="18"/>
    </w:rPr>
  </w:style>
  <w:style w:type="paragraph" w:styleId="NormalWeb">
    <w:name w:val="Normal (Web)"/>
    <w:basedOn w:val="Normal"/>
    <w:uiPriority w:val="99"/>
    <w:semiHidden/>
    <w:unhideWhenUsed/>
    <w:rsid w:val="007C7561"/>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E32FF5"/>
    <w:rPr>
      <w:rFonts w:asciiTheme="minorHAnsi" w:hAnsiTheme="minorHAnsi" w:cstheme="minorBidi"/>
      <w:sz w:val="20"/>
      <w:szCs w:val="20"/>
      <w:lang w:val="en-SG"/>
    </w:rPr>
  </w:style>
  <w:style w:type="character" w:customStyle="1" w:styleId="FootnoteTextChar">
    <w:name w:val="Footnote Text Char"/>
    <w:basedOn w:val="DefaultParagraphFont"/>
    <w:link w:val="FootnoteText"/>
    <w:uiPriority w:val="99"/>
    <w:semiHidden/>
    <w:rsid w:val="00E32FF5"/>
    <w:rPr>
      <w:sz w:val="20"/>
      <w:szCs w:val="20"/>
      <w:lang w:val="en-SG"/>
    </w:rPr>
  </w:style>
  <w:style w:type="character" w:styleId="FootnoteReference">
    <w:name w:val="footnote reference"/>
    <w:basedOn w:val="DefaultParagraphFont"/>
    <w:uiPriority w:val="99"/>
    <w:semiHidden/>
    <w:unhideWhenUsed/>
    <w:rsid w:val="00E32FF5"/>
    <w:rPr>
      <w:vertAlign w:val="superscript"/>
    </w:rPr>
  </w:style>
  <w:style w:type="paragraph" w:customStyle="1" w:styleId="Default">
    <w:name w:val="Default"/>
    <w:rsid w:val="0073437C"/>
    <w:pPr>
      <w:autoSpaceDE w:val="0"/>
      <w:autoSpaceDN w:val="0"/>
      <w:adjustRightInd w:val="0"/>
      <w:spacing w:after="0" w:line="240" w:lineRule="auto"/>
    </w:pPr>
    <w:rPr>
      <w:rFonts w:ascii="Garamond" w:hAnsi="Garamond" w:cs="Garamond"/>
      <w:color w:val="000000"/>
      <w:sz w:val="24"/>
      <w:szCs w:val="24"/>
      <w:lang w:val="en-SG"/>
    </w:rPr>
  </w:style>
  <w:style w:type="paragraph" w:styleId="Header">
    <w:name w:val="header"/>
    <w:basedOn w:val="Normal"/>
    <w:link w:val="HeaderChar"/>
    <w:uiPriority w:val="99"/>
    <w:unhideWhenUsed/>
    <w:rsid w:val="000E0773"/>
    <w:pPr>
      <w:tabs>
        <w:tab w:val="center" w:pos="4513"/>
        <w:tab w:val="right" w:pos="9026"/>
      </w:tabs>
    </w:pPr>
  </w:style>
  <w:style w:type="character" w:customStyle="1" w:styleId="HeaderChar">
    <w:name w:val="Header Char"/>
    <w:basedOn w:val="DefaultParagraphFont"/>
    <w:link w:val="Header"/>
    <w:uiPriority w:val="99"/>
    <w:rsid w:val="000E0773"/>
    <w:rPr>
      <w:rFonts w:ascii="Calibri" w:hAnsi="Calibri" w:cs="Times New Roman"/>
    </w:rPr>
  </w:style>
  <w:style w:type="paragraph" w:styleId="Footer">
    <w:name w:val="footer"/>
    <w:basedOn w:val="Normal"/>
    <w:link w:val="FooterChar"/>
    <w:uiPriority w:val="99"/>
    <w:unhideWhenUsed/>
    <w:rsid w:val="000E0773"/>
    <w:pPr>
      <w:tabs>
        <w:tab w:val="center" w:pos="4513"/>
        <w:tab w:val="right" w:pos="9026"/>
      </w:tabs>
    </w:pPr>
  </w:style>
  <w:style w:type="character" w:customStyle="1" w:styleId="FooterChar">
    <w:name w:val="Footer Char"/>
    <w:basedOn w:val="DefaultParagraphFont"/>
    <w:link w:val="Footer"/>
    <w:uiPriority w:val="99"/>
    <w:rsid w:val="000E0773"/>
    <w:rPr>
      <w:rFonts w:ascii="Calibri" w:hAnsi="Calibri" w:cs="Times New Roman"/>
    </w:rPr>
  </w:style>
  <w:style w:type="character" w:styleId="FollowedHyperlink">
    <w:name w:val="FollowedHyperlink"/>
    <w:basedOn w:val="DefaultParagraphFont"/>
    <w:uiPriority w:val="99"/>
    <w:semiHidden/>
    <w:unhideWhenUsed/>
    <w:rsid w:val="000550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002058">
      <w:bodyDiv w:val="1"/>
      <w:marLeft w:val="0"/>
      <w:marRight w:val="0"/>
      <w:marTop w:val="0"/>
      <w:marBottom w:val="0"/>
      <w:divBdr>
        <w:top w:val="none" w:sz="0" w:space="0" w:color="auto"/>
        <w:left w:val="none" w:sz="0" w:space="0" w:color="auto"/>
        <w:bottom w:val="none" w:sz="0" w:space="0" w:color="auto"/>
        <w:right w:val="none" w:sz="0" w:space="0" w:color="auto"/>
      </w:divBdr>
    </w:div>
    <w:div w:id="739593689">
      <w:bodyDiv w:val="1"/>
      <w:marLeft w:val="0"/>
      <w:marRight w:val="0"/>
      <w:marTop w:val="0"/>
      <w:marBottom w:val="0"/>
      <w:divBdr>
        <w:top w:val="none" w:sz="0" w:space="0" w:color="auto"/>
        <w:left w:val="none" w:sz="0" w:space="0" w:color="auto"/>
        <w:bottom w:val="none" w:sz="0" w:space="0" w:color="auto"/>
        <w:right w:val="none" w:sz="0" w:space="0" w:color="auto"/>
      </w:divBdr>
    </w:div>
    <w:div w:id="190344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ec.org/Meeting-Papers/Sectoral-Ministerial-Meetings/Small-and-Medium-Enterprise/2015_sme/Annex%20A.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pec.org/Meeting-Papers/Ministerial-Statements/Trade/2015_trade/2015_mrt_standalone.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ec.org/Projects/Applying-for-Funds.aspx" TargetMode="External"/><Relationship Id="rId5" Type="http://schemas.openxmlformats.org/officeDocument/2006/relationships/footnotes" Target="footnotes.xml"/><Relationship Id="rId10" Type="http://schemas.openxmlformats.org/officeDocument/2006/relationships/hyperlink" Target="http://hrd.apec.org/images/2/21/PPWE.pdf" TargetMode="External"/><Relationship Id="rId4" Type="http://schemas.openxmlformats.org/officeDocument/2006/relationships/webSettings" Target="webSettings.xml"/><Relationship Id="rId9" Type="http://schemas.openxmlformats.org/officeDocument/2006/relationships/hyperlink" Target="http://mddb.apec.org/documents/2012/SMEWG/SMEWG2/12_smewg35_03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Chapnick</dc:creator>
  <cp:lastModifiedBy>Daniel Simson</cp:lastModifiedBy>
  <cp:revision>2</cp:revision>
  <cp:lastPrinted>2017-12-12T02:03:00Z</cp:lastPrinted>
  <dcterms:created xsi:type="dcterms:W3CDTF">2018-01-15T07:12:00Z</dcterms:created>
  <dcterms:modified xsi:type="dcterms:W3CDTF">2018-01-15T07:12:00Z</dcterms:modified>
</cp:coreProperties>
</file>